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PE.2018.0487 vom 30. Januar 2020</w:t>
      </w:r>
    </w:p>
    <w:p>
      <w:r>
        <w:t>VD Tribunal cantonal, 2020-01-30, FR</w:t>
      </w:r>
    </w:p>
    <w:p>
      <w:r>
        <w:rPr>
          <w:b/>
        </w:rPr>
        <w:t xml:space="preserve">Quelle: </w:t>
      </w:r>
      <w:r>
        <w:t>https://mcp.opencaselaw.ch/entscheid/vd_omni_PE.2018.0487</w:t>
      </w:r>
    </w:p>
    <w:p>
      <w:r>
        <w:t>FR: VD_OMNI PE.2018.0487 du 30 janvier 2020</w:t>
      </w:r>
    </w:p>
    <w:p>
      <w:r>
        <w:t>IT: VD_OMNI PE.2018.0487 del 30 gennaio 2020</w:t>
      </w:r>
    </w:p>
    <w:p>
      <w:pPr>
        <w:pStyle w:val="Heading2"/>
      </w:pPr>
      <w:r>
        <w:t>Regeste</w:t>
      </w:r>
    </w:p>
    <w:p>
      <w:r>
        <w:t>A.________/Service de la population (SPOP) | Recourant séjournant en Suisse depuis près de 20 ans, mais illégalement entre 2000 et 2006, et depuis 2014, tout d’abord grâce à l’effet suspensif, puis à la faveur d'une tolérance cantonale liée à la présente procédure. Seul le séjour effectué entre 2006 et 2014 est ainsi déterminant. Pour le reste, l'intégration du recourant en Suisse est insuffisante (tant sur le plan professionnel que sur le plan du respect de l'ordre juridique). Ayant vécu jusqu’à l’âge adulte au Kosovo, pays avec lequel il a gardé des liens, il est apte, vu son âge et sa santé, à s’y réintégrer de manière indépendante. Le recourant ne représente pas un cas de rigueur. Rejet du recours.</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Il y a donc lieu d’entrer en matière sur le fond.</w:t>
      </w:r>
    </w:p>
    <w:p>
      <w:r>
        <w:rPr>
          <w:b/>
        </w:rPr>
        <w:t>E. 2</w:t>
      </w:r>
    </w:p>
    <w:p>
      <w:r>
        <w:t>A titre préalable, il convient de préciser que le 1 er janvier 2019 est entrée en vigueur la modification du 16 décembre 2016 de la LEtr, dont le titre est désormais LEI; parallèlement, l'ordonnance fédérale du 24 octobre 2007 relative à l'admission, au séjour et à l'exercice d'une activité lucrative (OASA; RS 142.201) a fait l'objet de différentes modifications. La légalité d'un acte administratif doit toutefois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TF 2C_29/2016 du 3 novembre 2016 consid. 3.2). Une autre exception se conçoit dans l'hypothèse où le nouveau droit permettrait la révocation de la décision prise selon l'ancien droit, ainsi que dans l'hypothèse où la nouvelle réglementation est plus favorable à l'administré que l'ancien droit (à ce sujet, cf. notamment ATF 141 II 393 consid . 2.4 et 139 II 470 consid. 4.2; arrêt du TAF F-1576/2017 du 30 janvier 2019 consid. 2). En l'occurrence, sous les réserves précitées, il convient ainsi en principe d'appliquer la loi dans sa teneur en vigueur jusqu'au 31 décembre 2018 (cf. ég. la disposition transitoire de l'art. 126 al. 1 LEI; PE.2018.0208 du 29 mai 2019), vu que la décision attaquée date du 1 er novembre 2018.</w:t>
      </w:r>
    </w:p>
    <w:p>
      <w:r>
        <w:rPr>
          <w:b/>
        </w:rPr>
        <w:t>E. 3</w:t>
      </w:r>
    </w:p>
    <w:p>
      <w:r>
        <w:t>La décision entreprise refuse d'octroyer au recourant une autorisation de séjour sous quelque forme que ce soit. Le recourant fait quant à lui valoir que sa situation est constitutive d'un cas de rigueur. 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LEI s'applique aux étrangers dans la mesure où leur statut juridique n'est pas réglé par d'autres dispositions du droit fédéral ou par des traités internationaux conclus par la Suisse. b) En l'espèce, le recourant étant ressortissant du Kosovo, il ne saurait se prévaloir de l'accord du 21 juin 1999 entre la Confédération suisse, d'une part, et la Communauté européenne et ses Etats membres, d'autre part, sur la libre circulation des personnes (ALCP; RS 0.142.112.681), ni d'un autre traité, tel que celui conclu avec l'Association européenne de libre-échange (AELE) (cf. art. 2 al. 2 et 3 LEI). Il est par conséquent soumis aux dispositions de la LEI. c) Selon l'art. 30 al. 1 let. b LEI, il est possible de déroger aux conditions d'admission (art. 18 à 29 LEI) pour tenir compte des cas individuels d'une extrême gravité. Le Conseil fédéral fixe les conditions générales et arrête la procédure (art. 30 al. 2 LEI). Selon l'art. 96 al. 1 LEI dans sa teneur en vigueur jusqu'au 31 décembre 2018, les autorités compétentes tiennent compte, en exerçant leur pouvoir d'appréciation, des intérêts publics, de la situation personnelle de l'étranger, ainsi que de son degré d'intégration (dans la teneur de cette disposition en vigueur depuis le 1 er janvier 2019, l'expression " son degré d'intégration " a été remplacée par " son intégration "). L'art. 30 al. 1 let. b LEI est concrétisé par l’art. 31 OASA. Aux termes de l'art. 31 al. 1 OASA, dans sa teneur en vigueur jusqu'au 31 décembre 2018, une autorisation de séjour peut être octroyée dans les cas individuels d'extrême gravité; lors de l'appréciation,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L'art. 31 al. 1 OASA dans sa version applicable depuis le 1 er janvier 2019 prévoit: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auquel renvoie l'art. 31 al. 1 LEI dispose pour sa part: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Malgré la rédaction partiellement nouvelle du texte, sur le fond, il n'y a pas eu de véritables modifications entre les versions de l'art. 31 OASA applicables avant et dès le 1 er janvier 2019. Les critères de reconnaissance d'un cas de rigueur ne constituent pas un catalogue exhaustif, pas plus qu'ils ne doivent être réalisés cumulativement (cf. arrêt TF 2C_897/2010 du 23 mars 2011 consid. 1.2.1; arrêt TAF F-4305/2016 consid. 5.1). La formulation de l'art. 30 al. 1 let. b LEI,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traduit et résumé in RDAF 2012 I, p. 519). d) aa) Le simple fait pour un étranger de séjourner en Suisse pendant de longues années, y compris à titre légal, ne permet pas d'admettre un cas personnel d'une extrême gravité (cf. notamment ATF 130 II 281 consid. 3.2.1; arrêt TF 2A.540/2005 du 11 novembre 2005 consid. 3.2.1; ATAF 2007/16 consid. 7). A cet égard, la durée d'un séjour temporaire pour études ou d'un séjour comme requérant d'asile ou encore d'un séjour illégal ou d'un séjour précaire (tel celui accompli à la faveur d'une tolérance cantonale pendant une procédure de première instance ou de l'effet suspensif attaché à la procédure de recours) ne doit normalement pas être prise en considération ou alors seulement dans une mesure très restreinte (ATAF 2007/45 consid. 4.4 et 6.3, 2007/44 consid. 5.2, et la jurisprudence citée; cf. également arrêts TAF F-1737/2017 du 22 janvier 2019 et C-5837/2013 du 19 novembre 2014 consid. 6.).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bb) En l'espèce, le recourant se prévaut du fait qu’il séjourne en Suisse depuis près de 20 ans. A cet égard, il y a tout d'abord lieu de constater que la durée du séjour du recourant n’a pas été considérée comme un élément déterminant par le Tribunal administratif fédéral ni par le Tribunal fédéral lorsqu’ils ont jugé sa cause en 2016. Par ailleurs, entre 2000 et 2006, le recourant a séjourné illégalement en Suisse. En outre, depuis 2014, il ne séjourne en Suisse qu’au bénéfice d’un séjour précaire, tout d’abord grâce à l’effet suspensif attaché aux procédures de recours en relation avec la décision du SEM, puis à la faveur d'une tolérance cantonale liée à la présente procédure. Au vu de la jurisprudence précitée, c’est donc uniquement le séjour effectué entre 2006 et 2014 qui peut être considéré comme déterminant. Or il ne s’agit pas d’un séjour d’une durée telle qu’il fonderait à lui seul un cas d’extrême gravité. cc) Cela étant, il y a lieu d'examiner si des critères d'évaluation autres que la seule durée du séjour en Suisse seraient de nature à faire reconnaître qu'un départ de Suisse placerait le recourant dans une situation excessivement rigoureuse. e) aa) Les conditions posées pour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il importe de déterminer si le refus de soustraire l'intéressé aux restrictions des nombres maximums d'étrangers autorisés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comme exposé ci-dessus,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bb) En l'espèce, si l’on examine tout d’abord l’intégration du recourant, il faut rappeler qu’en 2016, la question avait été tranchée par le Tribunal fédéral qui l’avait considérée comme insuffisante. Le fait que le recourant n’ait, depuis cette date, pas commis de délits et qu’il soit au bénéfice d’une promesse d’embauche ne permet pas encore de considérer son intégration professionnelle et sociale en Suisse comme exceptionnelle, allant bien au-delà d'un acclimatement ordinaire, qui permettrait en tant que telle d'établir l'existence de liens particulièrement intenses avec la Suisse. Pour ce qui concerne ensuite la réintégration dans son pays d’origine, le recourant expose qu'il n'a plus de lien avec le Kosovo, pays dans lequel ses filles et ses deux frères ne vivent plus. Il n’en demeure pas moins que le recourant a séjourné dans ce pays jusqu’à l’âge adulte, qu’il y est très régulièrement retourné en vacances et que c’est dans ce pays qu’il a décidé de faire élever ses filles. Force est ainsi de constater que ses liens avec le Kosovo non seulement n’ont jamais été coupés, mais sont demeurés importants. Même si ces filles ont quitté récemment le Kosovo et que deux de ses frères n’y vivent plus, le recourant, en tant que personne adulte et en bonne santé, est apte à s’y réintégrer de manière indépendante. Il est en mesure d’y travailler et de gagner sa vie, compte tenu aussi de l'expérience qu'il a acquise en Suisse. Dans ces circonstances, il n'apparaît pas que la recherche d'un emploi serait plus difficile pour le recourant que pour d'autres compatriotes à la recherche d'un emploi au Kosovo, à tout le moins pas dans une mesure particulièrement accrue. Au vu de ces circonstances, le recourant ne représente pas un cas de rigueur, justifiant qu’il soit dérogé en sa faveur aux conditions d’admission en Suisse. Les critiques qu’il forme à l’encontre de la décision attaquée apparaissent dès lors vaines.</w:t>
      </w:r>
    </w:p>
    <w:p>
      <w:r>
        <w:rPr>
          <w:b/>
        </w:rPr>
        <w:t>E. 4</w:t>
      </w:r>
    </w:p>
    <w:p>
      <w:r>
        <w:t>Il suit de ce qui précède que le recours doit être rejeté et la décision attaquée confirmée. Un émolument est mis à la charge du recourant,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