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PE.2018.0475 vom 27. Juni 2019</w:t>
      </w:r>
    </w:p>
    <w:p>
      <w:r>
        <w:t>VD Tribunal cantonal, 2019-06-27, FR</w:t>
      </w:r>
    </w:p>
    <w:p>
      <w:r>
        <w:rPr>
          <w:b/>
        </w:rPr>
        <w:t xml:space="preserve">Quelle: </w:t>
      </w:r>
      <w:r>
        <w:t>https://mcp.opencaselaw.ch/entscheid/vd_omni_PE.2018.0475</w:t>
      </w:r>
    </w:p>
    <w:p>
      <w:r>
        <w:t>FR: VD_OMNI PE.2018.0475 du 27 juin 2019</w:t>
      </w:r>
    </w:p>
    <w:p>
      <w:r>
        <w:t>IT: VD_OMNI PE.2018.0475 del 27 giugno 2019</w:t>
      </w:r>
    </w:p>
    <w:p>
      <w:pPr>
        <w:pStyle w:val="Heading2"/>
      </w:pPr>
      <w:r>
        <w:t>Regeste</w:t>
      </w:r>
    </w:p>
    <w:p>
      <w:r>
        <w:t>A.________ et B.________ /Service de la population (SPOP) | Confirmation de la décision du SPOP refusant d'accorder une autorisation de séjour pour cas de rigueur à des ressortissants du Cameroun. Les recourants séjournent en Suisse depuis plus de 14 et 13 ans, mais la durée de ce séjour doit être relativisée, puisqu'elle s'est déroulée pour l'essentiel d'abord à la faveur d'une autorisation de séjour temporaire pour études, ensuite dans l'illégalité. Les recourants savaient qu'ils devraient rentrer chez eux une fois leurs formations achevées et s'y étaient même engagés. Le renvoi des recourants et de leurs deux enfants, nées en Suisse, âgées de 8 et 4 ans, ne sera certes pas chose aisée dans un premier temps mais ne devrait pas, au vu des circonstances, causer de difficultés insurmontables. Enfin, les recourants ne sauraient de bonne foi soutenir maintenant que leurs formations, qu'ils ont été autorisés à suivre en Suisse sur la base de leurs promesses de rentrer ensuite chez eux, ne leur serait en réalité d'aucune utilité dans leur pays de provenance.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(cf. ATF 141 V 557 consid. 3.2.1; TF 2C_341/2016 du 3 octobre 2016 consid. 3.1 et les références). En l'occurrence, la décision attaquée expose de manière méthodique les circonstances de faits et les motifs juridiques ayant conduit le SPOP à dénier l'octroi des autorisations de séjour sollicitées. Cette motivation s'avère suffisante, au regard des exigences légales et jurisprudentielles précitées, pour sauvegarder les droits des recourants, ce d'autant plus que ces derniers sont assistés d'un avocat et ont pu recourir en temps utile pour faire valoir leurs droits. Il est du reste à noter que les susnommés n'ont pas estimé nécessaire de compléter leur mémoire de recours après avoir pris connaissance de la réponse de l'autorité intimée. Le moyen se révèle donc infondé.</w:t>
      </w:r>
    </w:p>
    <w:p>
      <w:r>
        <w:rPr>
          <w:b/>
        </w:rPr>
        <w:t>E. 3</w:t>
      </w:r>
    </w:p>
    <w:p>
      <w:r>
        <w:t>Le litige porte sur le refus du SPOP d'accorder une autorisation de séjour à une famille camerounaise.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et l'intégration (LEI; RS 142.20) s'applique aux étrangers dans la mesure où leur statut juridique n'est pas réglé par d'autres dispositions du droit fédéral ou par des traités internationaux conclus par la Suisse. b) En l'espèce, les recourants et leurs filles étant ressortissants du Cameroun, soit d'un Etat tiers, ils ne sauraient se prévaloir de l'accord du 21 juin 1999 entre la Confédération suisse, d'une part, et la Communauté européenne et ses Etats membres, d'autre part, sur la libre circulation des personnes (ALCP; RS 0.142.112.681), ni d'un autre traité. Ils sont par conséquent soumis aux dispositions de la LEI.</w:t>
      </w:r>
    </w:p>
    <w:p>
      <w:r>
        <w:rPr>
          <w:b/>
        </w:rPr>
        <w:t>E. 4</w:t>
      </w:r>
    </w:p>
    <w:p>
      <w:r>
        <w:t>Les recourants sollicitent la délivrance d'une autorisation de séjour en leur faveur et celle de leurs enfants pour cas de rigueur au sens l'art. 30 al. 1 let. b LEI. a) Aux termes de cette disposition, il est possible de déroger aux conditions d'admission (art. 18 à 29 LEI) dans le but notamment de tenir compte des cas individuels d'une extrême gravité.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de l'ordonnance fédérale du 24 octobre 2007 relative à l’admission, au séjour et à l’exercice d’une activité lucrative (OASA; RS 142.201), qui comprend une liste des critères à prendre en considération pour la reconnaissance d'une situation d'extrême gravité, précise – dans sa teneur jusqu'au 31 décembre 2018, applicable en l'espèce (cf. art. 126 al. 1 LEI par analogie) –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LEI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cf. également CDAP PE.2016.0053 du 21 juin 2017 consid. 3a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CDAP PE.2015.0135 du 11 janvier 2016 consid. 4a et les références). b)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TAF F-7044/2014 du 19 juillet 2016 consid. 5.6.1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TF 2A.679/2006 du 9 février 2007 consid. 3; TAF C-301/2014 du 8 juin 2015 consid. 5.2; CDAP PE.2016.0053 du 21 juin 2017 consid. 3b et les références). c) En l'espèce, le recourant est arrivé en Suisse en octobre 2004 et la recourante en octobre 2005, si bien qu'ils séjournent dans notre pays depuis plus de quatorze ans, respectivement treize ans. Bien que longue, la durée de ce séjour doit être relativisée, puisqu'elle s'est déroulée pour l'essentiel d'abord à la faveur d'une autorisation de séjour temporaire pour études, ensuite dans l'illégalité. En effet, l'époux a été mis au bénéfice d'un permis de séjour temporaire pour études jusqu'au 30 septembre 2011, puis d'une autorisation de séjour de courte durée pour l'exercice d'une activité lucrative de juillet 2013 à juillet 2014, de sorte qu'il a vécu en Suisse sans autorisation pendant plus de six années. Quant à l'épouse, elle disposait d'un permis de séjour temporaire pour études qui est arrivé à échéance le 31 octobre 2013, soit il y a plus de cinq ans. Les conjoints ont ainsi outrepassé les prescriptions de police des étrangers dans une mesure non négligeable, cela sans compter le fait que le susnommé a de surcroît travaillé pendant ses études sans l'aval du SDE. Or, les recourants n'étaient pas sans savoir qu'il leur incombait de rentrer chez eux une fois leurs formations achevées (sur la portée des autorisations de séjour pour études, voir CDAP PE.2018.0234 du 26 juin 2019 consid. 5b). Ils s'y étaient même engagés, à plusieurs reprises, les 12 septembre 2003, 12 juillet 2005 et 29 avril 2013. Non contents de manquer à leurs paroles, ils ont encore fait fi des différentes décisions des autorités qui, comme celle qui nous occupe, refusaient de reconduire leurs titres de séjour et les sommaient de quitter la Suisse (cf. décision du SEM du 26 juin 2012, décision du SPOP du 17 décembre 2014 [confirmée par arrêt de la Cour de céans du 14 août 2015], décision du SPOP du 24 mai 2016). Le seul fait qu'ils maîtrisent le français (langue officielle du Cameroun), aient mené à bien leurs études respectives, n'aient jamais eu recours à l’assistance publique et se soient constitué un réseau social n'a rien d'exceptionnel et ne suffit pas à renverser ce constat. Quant à leur participation à la vie associative, elle est certes respectable mais focalisée essentiellement sur l'intégration des migrants africains, soit à leur propre communauté. Enfin, ils n'ont pas d'autres proches ici que la sœur de la recourante, qui vit avec les siens dans le canton d'Argovie, les autres membres de leurs familles étant soit dans un autre pays d'Europe, soit au Cameroun. S'agissant des enfants du couple, âgées de 8 et bientôt 4 ans, elles sont toutes deux nées en Suisse et ont grandi dans notre pays. L'aînée est scolarisée en quatrième année primaire, obtient de bons résultats et semble bien intégrée. Ce nonobstant, leur enracinement n'est pas tel qu'il leur serait impossible de s'acclimater à un autre milieu. Au contraire, compte tenu de leur jeune âge, elles sont toutes deux attachées davantage à leurs parents qu'à leur environnement et n'ont pas encore atteint d'étape cruciale dans leur développement ou leur formation qui imposerait la poursuite de leur séjour parmi nous. A cela s'ajoute, encore une fois, que leur séjour en Suisse s'est pour l'essentiel déroulé dans l'illégalité, l'ultime autorisation de séjour accordée à l'un ou l'autre parent ayant pris fin en juillet 2014. Un renvoi de la famille au Cameroun ne sera certainement pas chose aisée dans un premier temps. Il ne devrait toutefois pas causer de difficultés insurmontables, lorsque l'on sait que les parents en sont originaires et en parlent la langue, à l'instar de leurs deux enfants, qu'ils y ont vécu la majeure partie de leur vie, y ont célébré leur mariage en octobre 2013 et que l'épouse y conserve à tout le moins sa mère et sa grand-mère, avec lesquelles elle a gardé contact. Un tel renvoi ne devrait pas non plus péjorer la situation financière de la famille, puisque cette dernière vit déjà aux dépens de son entourage depuis plusieurs années. Quoi qu'en disent les recourants, la formation qu'ils ont acquise en Suisse – notamment un Bachelor en télécommunication délivré au recourant par la HEIG-VD en 2011, ainsi qu'un Master en économie politique accordé à la recourante par l'Université de Fribourg en 2013 – devrait constituer un atout propice à leur insertion professionnelle et leur permettre de contribuer activement au développement économique de leur pays d'origine, conformément à leurs projets initiaux. Les recourants ne sauraient de bonne foi soutenir maintenant que leurs formations, qu'ils ont été autorisés à suivre en Suisse sur la base de leurs promesses de rentrer ensuite chez eux, ne leur serait en réalité d'aucune utilité dans leur pays de provenance. Enfin, les susnommés ne prétendent pas qu'ils seraient personnellement exposés à des risques particuliers en cas de retour au Cameroun, ni que leur état de santé s'opposerait à l'exigibilité de cette mesure. d) Pour tous ces motifs, il sied d'admettre, avec l'autorité intimée, que les recourants et leurs enfants ne se trouvent pas dans un cas individuel d'une extrême gravité au sens de l'art. 30 al. 1 let. b LEI qui imposerait la poursuite de leur séjour en Suisse. Il s'ensuit que la décision attaquée, qui ne procède ni d'une violation du droit ni d'un abus du pouvoir d'appréciation, ne prête pas le flanc à la critique.</w:t>
      </w:r>
    </w:p>
    <w:p>
      <w:r>
        <w:rPr>
          <w:b/>
        </w:rPr>
        <w:t>E. 5</w:t>
      </w:r>
    </w:p>
    <w:p>
      <w:r>
        <w:t>En définitive, le recours, mal fondé, doit être rejeté et la décision attaquée confirmée. Les recourants ont procédé au bénéfice de l'assistance judiciaire. Le conseil d'office peut prétendre à un tarif horaire de 180 fr. en tant qu'avocat et de 110 fr. en tant qu'avocat-stagiaire (cf. art. 2 al. 1 let. a et b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 al. 1bis RAJ). En l'occurrence, l'indemnité de Me Jacques Emery peut être arrêtée, au vu de la liste des opérations produite, à 1’525 fr. (1h45 x 180 fr. + 11h x 110 fr.), montant auquel s'ajoutent 76 fr. de débours (1’525 fr. x 5%). Compte tenu de la TVA au taux de 7,7%, l’indemnité totale s'élève ainsi à 1’724 francs. L'indemnité de conseil d'office et les frais de justice sont supportés provisoirement par le canton (cf. art. 122 al. 1 let. a et b du code de procédure civile du 19 décembre 2008 [CPC; RS 272], applicable par renvoi de l'art. 18 al. 5 LPA-VD), les recourants étant rendus attentifs au fait qu'ils seront tenus de rembourser les montants ainsi avancés dès qu'ils seront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