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PE.2018.0424 vom 6. März 2019</w:t>
      </w:r>
    </w:p>
    <w:p>
      <w:r>
        <w:t>VD Tribunal cantonal, 2019-03-06, FR</w:t>
      </w:r>
    </w:p>
    <w:p>
      <w:r>
        <w:rPr>
          <w:b/>
        </w:rPr>
        <w:t xml:space="preserve">Quelle: </w:t>
      </w:r>
      <w:r>
        <w:t>https://mcp.opencaselaw.ch/entscheid/vd_omni_PE.2018.0424</w:t>
      </w:r>
    </w:p>
    <w:p>
      <w:r>
        <w:t>FR: VD_OMNI PE.2018.0424 du 6 mars 2019</w:t>
      </w:r>
    </w:p>
    <w:p>
      <w:r>
        <w:t>IT: VD_OMNI PE.2018.0424 del 6 marzo 2019</w:t>
      </w:r>
    </w:p>
    <w:p>
      <w:pPr>
        <w:pStyle w:val="Heading2"/>
      </w:pPr>
      <w:r>
        <w:t>Regeste</w:t>
      </w:r>
    </w:p>
    <w:p>
      <w:r>
        <w:t>A.________, B.________, C.________, D.________, E.________/Service de la population (SPOP) | L'autorité intimée n'a pas abusé de son pouvoir d'appréciation en refusant de délivrer, en faveur de deux ressortissants afghans et de leur filles mineures, au bénéfice d'admissions provisoires, des autorisations de séjour. Les recourants vivent depuis dix ans en Suisse et n'ont jamais travaillé, même à temps partiel, bien qu'ils n'aient jamais rendu vraisemblable que leur état de santé les empêchait d’exercer une activité lucrative quelconque. Ils ont contracté à l'égard de l'assistance publique une dette d'environ 500'000 francs. Du reste, c’est essentiellement afin de pouvoir voyager auprès de leur famille que les recourants demandent la délivrance d’une autorisation de séjour et non pour compléter ou parachever une intégration que l’on n’hésitera guère à qualifier, en l’état actuel, d’insuffisante. Recours au TF déclaré irrecevable par arrêt 2C_360/2019 du 15 avril 2019.</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loi fédérale du 16 décembre 2005 sur les étrangers ([LEtr] depuis le 1 er janvier 2019: loi fédérale sur les étrangers et l’intégration [LEI; RS 142.20]) ne prévoyant aucune disposition étendant le pouvoir de contrôle de l'autorité de recours à l'inopportunité, ce motif ne saurait être examiné par la Cour de céans (v. notamment, CDAP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131 II 339 consid. 1, p. 343; 130 II 281 consid. 2.1 p. 284, 493 consid.</w:t>
      </w:r>
    </w:p>
    <w:p>
      <w:r>
        <w:rPr>
          <w:b/>
        </w:rPr>
        <w:t>E. 3.1</w:t>
      </w:r>
    </w:p>
    <w:p>
      <w:r>
        <w:t>p. 497/498; 128 II 145 consid. 1.1.1 p. 148, et les arrêts cités). Ressortissants d’Afghanistan, les recourants, qui ne peuvent invoquer aucun traité en leur faveur se prévalent de l’art. 84 al. 5 LEI,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L'étranger admis provisoirement qui sollicite une autorisation de séjour en application de l'art. 84 al. 5 LEI n'a toutefois pas droit à la délivrance d'une autorisation de séjour, à savoir à la transformation de son permis F en permis B (ATF 126 II 335 consid. 1c/bb p. 339). Cette autorisation lui est, dans une telle hypothèse, décernée sur la base de l'art. 30 LEI (dérogations aux conditions d'admission, dont l'al. 1 let. b traite des cas individuels d'une extrême gravité. Or, en raison de sa formulation potestative, l'art. 30 LEI ne confère aucun droit aux recourants (arrêt du Tribunal fédéral 2C_276/2017 du 4 avril 2017 consid. 2.1). L’art. 84 al. 5 LEI ne constitue ainsi pas un fondement autonome pour l’octroi de l’autorisation de séjour, mais s’analyse comme un cas de dérogation aux conditions d’admission, selon l’art. 30 LEI (arrêts 2D_21/2016 du 23 mai 2016 consid. 3; 2D_67/2015 du 3 novembre 2015 consid. 3.1; 2C_766/2009 du 26 mai 2010 consid. 4).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repris dans ATAF C-5718/2010 du 27 janvier 2012). b) Les art. 18 à 29 LEI règlent les conditions d’admission des étrangers. Il est possible de déroger aux conditions d'admission prévues aux dispositions précitées dans le but notamment de tenir compte des cas individuels d'une extrême gravité (art. 30 al. 1 let. b LEI). Les critères dont il convient de tenir compte pour examiner la notion de cas individuel d'extrême gravité sont précisés à l'art. 31 al. 1 de l'ordonnance du 24 octobre 2007 relative à l'admission, au séjour et à l'exercice d'une activité lucrative (OASA; RS 142.201) dans sa teneur en vigueur jusqu’au 31 décembre 2018, applicable en l'espèce (cf. art. 126 al. 1 LEI par analogie)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 s.;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Il y a lieu de se fonder sur les relations familiales de l'intéressé en Suisse et dans sa patrie, sur son état de santé, sur sa situation professionnelle, sur son intégration sociale, etc. (ATF 130 II 39 consid. 3 p. 41 s.;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s.; 128 II 200 consid. 4 p. 207 s.). Conformément à l'art. 4 de l'ordonnance du 24 octobre 2007 sur l'intégration des étrangers (OIE; RS 142.205; dans sa teneur en vigueur jusqu’au 31 décembre 2018),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Concernant le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arrêts 2C_175/2015 du 30 octobre 2015 consid. 2.3; 2C_65/2014 du 27 janvier 2015 consid. 3.5). Le degré de maîtrise que l'on est en droit d'exiger varie par ailleurs en fonction de la situation socio-professionnelle de l'intéressé (arrêts 2C_238/2015 du 23 novembre 2015 consid. 3.3; 2C_839/2010 du 25 février 2011 consid. 7.1.2). Le Tribunal fédéral a en outre retenu qu'il n'était pas possible de tirer une conclusion négative quant à l'intégration d'un étranger du seul fait que la présence d'un interprète s'est révélée nécessaire en cours d'audience: une telle circonstance n'est en effet pas incompatible avec l'existence d'une capacité de communication suffisante dans la vie de tous les jours (cf. arrêts 2C_861/2015 du 11 février 2016 consid. 5.6.1; 2C_65/2014 précité consid. 3.5; cf. également 2C_238/2015 précité consid. 3.3). De même,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publié par le Conseil de l’Europe (Directives du SEM, Domaine des étrangers, état au 1 er janvier 2019, ch. 5.6.12.1.2 et 5.6.13.5.4).</w:t>
      </w:r>
    </w:p>
    <w:p>
      <w:r>
        <w:rPr>
          <w:b/>
        </w:rPr>
        <w:t>E. 4</w:t>
      </w:r>
    </w:p>
    <w:p>
      <w:r>
        <w:t>En la présente espèce, les recourants font grief à l’autorité intimée d’avoir excédé ou abusé de son pouvoir d’appréciation en rejetant leur demande tendant à transformer leur admission provisoire en une autorisation de séjour. a) Les recourants vivent en Suisse depuis un peu plus de dix ans. Toutefois, ils ne démontrent pas l'existence de liens sociaux et professionnels spécialement intenses avec la Suisse, qui doivent dans ce cadre être notablement supérieurs à ceux qui résultent d'une intégration ordinaire, comme l’exige la jurisprudence citée au considérant précédent. A.________ et B.________ n’ont jamais travaillé, même à temps partiel. Pourtant, ils n’ont jamais rendu vraisemblable que leur état de santé les empêchaient d’exercer une activité lucrative quelconque; en 2017, l’office AI a même constaté le contraire, s’agissant d’A.________, en estimant que sa capacité de travail était complète dans toute activité. On ne voit pas, à la lecture des attestations médicales dont ce dernier se prévaut, que son état de santé se serait péjoré depuis lors. Quant à B.________, le fait d’avoir élevé cinq enfants ne constituait nullement un obstacle à ce qu’elle exerce une activité lucrative à temps partiel, à tout le moins s’agissant de ces dernières années, où les enfants, encore mineurs, avaient acquis une certaine autonomie. Il découle de ce qui précède que, pour son entretien, la famille dépend entièrement de l’assistance que lui octroie régulièrement l’EVAM. Pour la période allant du 1 er décembre 2012 au 30 novembre 2017, les recourants ont ainsi contracté à l’égard de l’assistance publique une dette de 340'828 fr.30. Si l’on tient compte des montants qui leur ont été alloués auparavant et depuis lors, cette dette atteint aujourd’hui très probablement près de 500'000 francs. Dès lors, on peut laisser indécis le point de savoir si les recourants, A.________ et B.________ notamment, possèdent une maîtrise suffisante de la langue française. Au terme de l’appréciation globale des circonstances du cas d'espèce, la Cour retient en effet que l’intégration des recourants en Suisse se révèle comme étant plutôt aléatoire. Du reste, on retire de leurs écritures que c’est essentiellement afin de pouvoir voyager auprès de leur famille que les recourants demandent la délivrance d’une autorisation de séjour et non pour compléter ou parachever une intégration que l’on n’hésitera guère à qualifier, en l’état actuel, d’insuffisante. b) Sans doute, ce constat ne s’impose pas forcément pour les trois filles mineures, D.________, C.________ et E.________. Toutefois, ces dernières effectuent actuellement leur scolarité obligatoire et leur statut en Suisse dépend encore de celui de leurs parents. La situation pourrait être revue en ce qui les concerne au regard de leur évolution respective, lorsqu’elles auront atteint leur majorité. En l’état actuel cependant, l’autorité intimée n’a pas abusé du pouvoir d’appréciation qui lui est reconnu en la présente matière en rejetant la demande des recourants. c) Au surplus, la décision attaquée n’a pas pour effet de contraindre les recourants à quitter le territoire suisse. On peut sérieusement douter, dans ces conditions, que leur droit à la protection de la vie familiale selon l’art. 8 CEDH soit atteint (cf. sur cette question arrêts PE.2018.0207 du 15 octobre 2018 consid. 4b; PE.2017.0054 du 14 juillet 2017 consid. 5; PE.2015.0411 du 9 mars 2016 consid. 2b, et les réf. cit.). En effet, pour qu'une telle disposition protégeant la vie familiale et la vie privée puisse être invoquée, il faut être en présence d'une mesure étatique d'éloignement qui aboutit à la séparation des membres d'une famille (cf. ATF 136 I 285 consid. 5.1; ATF 135 I 153 consid. 2.1), ce qui n’est pas le cas en l'espèce, les recourants pouvant de toute façon continuer à demeurer en Suisse au bénéfice de leur permis F (cf. arrêts 2C_689/2017 du 1 er février 2018 consid. 1.2.2;   2C_766/2009 du 26 mai 2010 consid. 6, et les réf. cit.).</w:t>
      </w:r>
    </w:p>
    <w:p>
      <w:r>
        <w:rPr>
          <w:b/>
        </w:rPr>
        <w:t>E. 5</w:t>
      </w:r>
    </w:p>
    <w:p>
      <w:r>
        <w:t>Les considérants qui précèdent conduisent au rejet du recours et à la confirmation de la décision attaquée. Vu l'issue du pourvoi, un émolument judiciaire devrait être mis à la charge des recourants, qui succombent (art. 49 al. 1, 91 et 99 LPA-VD). Au vu des circonstances toutefois, les frais seront laissés à la charge de l’Etat (art. 50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