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PE.2018.0412 vom 12. April 2019</w:t>
      </w:r>
    </w:p>
    <w:p>
      <w:r>
        <w:t>VD Tribunal cantonal, 2019-04-12, FR</w:t>
      </w:r>
    </w:p>
    <w:p>
      <w:r>
        <w:rPr>
          <w:b/>
        </w:rPr>
        <w:t xml:space="preserve">Quelle: </w:t>
      </w:r>
      <w:r>
        <w:t>https://mcp.opencaselaw.ch/entscheid/vd_omni_PE.2018.0412</w:t>
      </w:r>
    </w:p>
    <w:p>
      <w:r>
        <w:t>FR: VD_OMNI PE.2018.0412 du 12 avril 2019</w:t>
      </w:r>
    </w:p>
    <w:p>
      <w:r>
        <w:t>IT: VD_OMNI PE.2018.0412 del 12 aprile 2019</w:t>
      </w:r>
    </w:p>
    <w:p>
      <w:pPr>
        <w:pStyle w:val="Heading2"/>
      </w:pPr>
      <w:r>
        <w:t>Regeste</w:t>
      </w:r>
    </w:p>
    <w:p>
      <w:r>
        <w:t>A.________, B.________/Service de l'emploi Contrôle du marché du travail, Service de la population (SPOP) | Confirmation du refus de délivrer une autorisation de séjour avec activité lucrative en faveur d'un ressortissant kosovar, employé par une carrosserie en qualité de tôlier formeur. La plupart des recherches effectuées par l'employeur, sinon toutes, sont postérieures à l’engagement de l'intéressé; elles ne peuvent être prises en considération, dès lors qu'elles ont pour seul but de permettre à cet employeur de s'acquitter des exigences en la matière. Selon l'employeur, l’activité de tôlier formeur dans la restauration des véhicules anciens et historiques exige des connaissances pointues et multidisciplinaires et requiert un profil atypique; toutefois l'intéressé n'est titulaire d'aucun diplôme professionnel et les employés de la carrosserie sont susceptibles de suivre la formation spécifique dispensée par les associations professionnelles, afin de répondre aux besoins de l’entreprise et à la demande de la clientèle. Pas d'abus du pouvoir d'appréciation de l'autorité.</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notamment, de la loi fédérale du 16 décembre 2005 sur les étrangers ([LEtr]; depuis le 1 er janvier 2019: loi fédérale sur les étrangers et l’intégration [LEI; RS 142.20]),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Le litige porte sur la question de savoir si c'est à bon droit que l'autorité intimée a refusé d'accorder une autorisation de séjour avec activité lucrative en faveur de B.________. Ce dernier est ressortissant d’un Etat avec lequel la Suisse n’est liée par aucune convention, de sorte que cette question doit être résolue au regard du droit interne exclusivement, soit la LEI et ses ordonnances d’application. 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teneur de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LEmp) - décide si l'activité d'un étranger est considérée comme une activité lucrative au sens de l'art. 11 al. 2 LEI et, en cas de doute, il soumet le cas, pour décision, au Secrétariat d’Etat aux migrations ([SEM]; cf. art. 4 OASA). b)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La notion d'" intérêts économiques du pays "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2 e éd., Zurich 2015, p. 173; Peter Uebersax, in: Code annoté de droit des migrations, Vol. II, Loi sur les étrangers, Nguyen/Amarelle [éds], Berne 2017, n. 25 ad art. 18 LEtr). Selon les Directives et commentaires édictés par le SEM dans le domaine des étrangers, dans leur version en vigueur au 1 er janvier 2019 (ci-après: Directives LEI),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(Directives LEI, ch. 4.3.1; cf. aussi Message précité, ch.1.2.3.1, p. 3486). Les Directives LEI ajoutent que l'étranger peut être admis en vue de l'exercice d'une activité indépendante s’il est prouvé que cette activité aura des retombées durables positives pour le marché suisse du travail (intérêts économiques du pays).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LEI, ch. 4.7.2.1). c)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(arrêts du Tribunal administratif fédéral [ATAF] C-5912/2011 du 25 août 2015 consid. 8.3; C 4989/2011 du 23 janvier 2013 consid. 4.3.1; C-8717/2010 du 8 juillet 2011 consid. 6.3). Concernant les efforts de recherche de l’employeur dans le cadre de l’art. 21 LEI, les directives intitulées "I. Domaine des étrangers " du SEM prévoient en particulier ce qui suit (octobre 2013, version actualisée au 1 er janvier 2019):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références citées). Ces règles correspondent à ce que prévoyaient les art. 7 et 8 de l’ordonnance fédérale du 6 octobre 1986 limitant le nombre des étrangers (OLE), abrogée avec effet au 1 er janvier 2008. A cela s’ajoute que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(SEM, Directives, ch. 4.3.3). In casu, la demande ayant été faite avant le 1 er juillet 2018, l’art. 21a LEI n’est pas applicable et cette condition supplémentaire n’est pas requise, vu l’art. 126 al. 1 LEI, applicable par analogie.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A en outre été confirmé le refus de délivrer des autorisations de séjour et de travail à deux étudiantes roumaines, engagées par les parents de trois enfants en bas âge en qualité d'employées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(arrêt PE.2014.0214 du 10 septembre 2014). Le Tribunal cantonal a par ailleurs confirmé le refus de délivrer un permis de travail à une ressortissante roumaine pour un poste de secrétaire-réceptionniste dans une entreprise générale de la construction, parlant à la fois le roumain et le serbo-croate. C’est seulement après avoir été invité par le SDE à démontrer ce qui précède que l’employeur avait entrepris des recherches de candidats susceptibles de répondre aux exigences du poste et avait fait publier une annonce dans la presse. Il en est ressorti que le poste avait en réalité été taillé sur mesure pour l'intéressée, qui arrivait au terme de sa formation dans l’horlogerie et dont l'engagement résultait d’une pure convenance personnelle de l’employeur (arrêt PE.2015.0018 du 30 juillet 2015; dans le même sens, arrêts PE.2015.0069 du 6 août 2015; PE.2012.0285 du 4 décembre 2012). Plus récemment, il a jugé que l'autorité n'avait pas abusé de son pouvoir d'appréciation en refusant de délivrer une autorisation de séjour avec activité lucrative en faveur d'un ressortissant marocain, titulaire d'un diplôme d'ingénieur d'une haute école suisse, dont un bureau d'ingénieurs souhaitait s'assurer les services. L'employeur avait posé comme exigence au recrutement d’un nouvel ingénieur l’apport d’un réseau d’affaires, exigence dictée par le profil de l'intéressé; dès lors, le choix d’engager celui-ci résultait bien plutôt d’une convenance personnelle de l'employeur (arrêt PE.2017.0084 du 16 août 2017). d) Aux termes de l’art. 22 LEI, un étranger ne peut être admis en vue de l'exercice d'une activité lucrative qu'aux conditions de rémunération et de travail usuelles du lieu, de la profession et de la branche.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du SEM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(ATAF C-5420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ATAF C-5184/2014 du 31 mars 2016 consid. 5.4.1, réf. citée ). Sur ce point, il a été jugé par la CDAP qu’un poste de secrétaire-réceptionniste dans une entreprise de construction ne requérait pas des connaissances ou des capacités professionnelles particulières (arrêt PE.2015.0118, déjà cité), de même qu’une responsable commerciale, plus précisément spécialiste en gestion des déchets (arrêt PE.2009.0492 du 14 décembre 2009), ou même un œnologue (arrêt PE.2009.0119 du 17 septembre 2009; cf. en outre, dans le même sens, arrêts PE.2014.0331 du 17 août 2015; PE.2009.0173 du 24 août 2009; PE.2009.0225 du 20 juillet 2009). Dans l’arrêt PE.2017.0084 précité, la CDAP a jugé que la rémunération contractuellement servie à l’intéressé, 5'000 fr. brut par mois, ne correspondait pas à la rétribution d’une personne hautement spécialisée; en outre, l'employeur n’avait pas établi qu’il y ait actuellement pénurie de travailleurs en Suisse dans le génie civil, de telle sorte que l’engagement de l'intéressé soit absolument indispensable d’un point de vue économique. Dans une affaire similaire à certains égards à la présente cause (arrêt PE.2014.0333/PE.2015.0353 du 30 septembre 2016), où l’employeur carrossier souhaitait engager un ressortissant turc en qualité de tôlier formeur, la CDAP a tout d’abord relevé que des efforts constants avaient été entrepris par cet employeur depuis plusieurs années pour engager un spécialiste avec un minimum de 15 ans d’expérience, mais sans succès. En outre, elle a constaté que l’intéressé disposait d'un savoir-faire peu commun dans le domaine de la restauration de voitures de collection, même s’il n’était pas au bénéfice d'un diplôme de spécialiste tôlier-formeur, formation qui n’est dispensée ni dans son pays d’origine, ni en Suisse. La Cour a admis que les personnes disposant de ces compétences, qu’elle a assimilées à des artisans, étaient rares; elle a annulé la décision de refus d’autorisation et renvoyé la cause au SDE pour le motif suivant: «(…) L’autorité intimée n’a pas pris en compte et n’a pas examiné la différence entre l’activité habituelle de carrossier tôlier et celle de tôlier formeur, qui est une activité spécifique liée à la restauration de voiture ancienne, en ce sens que le travailleur doit avoir la capacité de recréer la forme exacte de la pièce de carrosserie à remplacer, ce qui implique non seulement un savoir-faire particulier peu commun sur le marché du travail, mais aussi des qualités personnelles d’artisan tant en ce qui concerne la création de la pièce avec toutes ses caractéristiques (forme exacte, épaisseur, etc.) que la précision dans les éléments d’assemblage. En assimilant l’activité de (réd.: l’intéressé) , à celle d’un carrossier tôlier titulaire d’un CFC, l’autorité intimée n’a pas instruit les éléments spécifiques de la demande et les caractéristiques particulières du besoin qui existe en Suisse pour de tels spécialistes (...)». e) En outre, peuvent notamment être admis, en dérogation aux al. 1 et 2, les personnes possédant des connaissances ou des capacités professionnelles particulières, si leur admission répond de manière avérée à un besoin (art. 23 al. 3 let. c LEI). Sont habilités à se réclamer de cette dernière disposition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(ATAF C-5912/2011 du 26 août 2015 consid. 9.3; C-5184/2014, déjà cité, consid. 5.4.2, réf. citée ). Les qualifications personnelles en question constituent une notion juridique indéterminée, pour l'interprétation de laquelle l'autorité dispose d'une latitude de jugement (cf. ATAF F-5531/2016 du 2 octobre 2017 consid. 7.3; C-5420/2012 du 15 janvier 2014 consid. 8.4; C-8717/2010 consid. 7.4).</w:t>
      </w:r>
    </w:p>
    <w:p>
      <w:r>
        <w:rPr>
          <w:b/>
        </w:rPr>
        <w:t>E. 3</w:t>
      </w:r>
    </w:p>
    <w:p>
      <w:r>
        <w:t>let. c LEI). Comme l’indique l’autorité intimée, la formation de tôlier formeur n’est sans doute pas sanctionnée, en Suisse, par l’obtention d’un certificat fédéral de capacité, faute de demande suffisante en la matière. Toutefois, cela ne signifie pas encore que des carrossiers titulaires d’un CFC ne puissent y suivre des cours, afin de se spécialiser dans la restauration de véhicules anciens. On relève à cet égard que l’Union professionnelle suisse de l’automobile (UPSA), l’Union Suisse des Carrossiers (USIC) et la Communauté suisse d'intérêts restaurateur automobile (IgFS) proposent ensemble une formation continue adaptée, débouchant sur un certificat de spécialiste en technique automobile, lequel est délivré par ces associations (source: www.fahrzeugrestaurator.ch). A.________ occupe, selon ses explications, plusieurs employés; or, ceux-ci sont susceptibles de suivre cette formation spécifique, afin de répondre aux besoins de l’entreprise et à la demande de la clientèle. Il en résulte que A.________ étant en mesure de se procurer sur le marché du travail local des employés dotés des connaissances et des capacités spécialisées indispensables à son entreprise, c ette circonstance exclut que les conditions de l’art. 23 al. 3 let. c LEI soient réalisées en ce qui concerne B.________. Dans la mesure où ce dernier travaille sans autorisation au sein de l’entreprise depuis plus d’une année, en dépit du refus de l’autorité intimée de lui délivrer un permis, il n’est du reste pas exclu que son engagement réponde pour l’essentiel à un motif de convenance personnelle de son employeur. Enfin, de la consultation de son site Internet (https://www.A.________) on ne retire pas que A.________ se serait spécialisée dans la restauration de véhicules anciens, comme elle l’indique. c) Quoi qu’il en soit de ces dernières constatations, il appert que l’autorité intimée n’a pas abusé de son pouvoir d’appréciation en refusant de donner une suite positive à la demande d’autorisation de séjour dont elle a été saisie en la présente espèce.</w:t>
      </w:r>
    </w:p>
    <w:p>
      <w:r>
        <w:rPr>
          <w:b/>
        </w:rPr>
        <w:t>E. 4</w:t>
      </w:r>
    </w:p>
    <w:p>
      <w:r>
        <w:t>Il résulte de ce qui précède que le recours doit être rejeté et la décision attaquée, confirmée. Vu l’issue du recours, un émolument judiciaire sera mis à la charge des recourants, qui succombent (art. 49 al. 1, 91 et 99 LPA-VD), solidairement entre eux (art. 51 al. 2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