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PE.2018.0409 vom 21. Februar 2020</w:t>
      </w:r>
    </w:p>
    <w:p>
      <w:r>
        <w:t>VD Tribunal cantonal, 2020-02-21, FR</w:t>
      </w:r>
    </w:p>
    <w:p>
      <w:r>
        <w:rPr>
          <w:b/>
        </w:rPr>
        <w:t xml:space="preserve">Quelle: </w:t>
      </w:r>
      <w:r>
        <w:t>https://mcp.opencaselaw.ch/entscheid/vd_omni_PE.2018.0409</w:t>
      </w:r>
    </w:p>
    <w:p>
      <w:r>
        <w:t>FR: VD_OMNI PE.2018.0409 du 21 février 2020</w:t>
      </w:r>
    </w:p>
    <w:p>
      <w:r>
        <w:t>IT: VD_OMNI PE.2018.0409 del 21 febbraio 2020</w:t>
      </w:r>
    </w:p>
    <w:p>
      <w:pPr>
        <w:pStyle w:val="Heading2"/>
      </w:pPr>
      <w:r>
        <w:t>Regeste</w:t>
      </w:r>
    </w:p>
    <w:p>
      <w:r>
        <w:t>A.________, B.________/Service de la population (SPOP) | Recours contre le refus du SPOP d'octroyer des autorisations de séjour pour cas de rigueur à des époux originaires de Serbie et de Macédoine, ainsi qu'à leur fille. Les recourants ne peuvent pas invoquer le droit au respect de la vie privée, puisque leur séjour en Suisse a toujours été illégal. La question d'une éventuelle violation de l'art. 7 Cst. (respect de la dignité humaine) ou de l'art. 3 CDE (intérêt supérieur de l'enfant) se confond avec celle d'une éventuelle violation de l'art. 30 al. 1 let. b LEI (cas individuels d'une extrême gravité). Pas de cas de rigueur: les recourants ont séjourné illégalement en Suisse, ne font pas preuve d'une intégration professionnelle remarquable et sont susceptibles de se (ré)intégrer sans difficultés insurmontables dans leurs pays d'origine, au même titre que leur fille qui est seulement âgée de quatre ans.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Les recourants estiment qu'ils doivent être mis au bénéfice d'une autorisation de séjour pour cas de rigueur. Ils soutiennent que la décision attaquée viole le principe de la proportionnalité. Ils invoquent de plus le droit au respect de la vie privée, le droit au respect de la dignité humaine et l'intérêt supérieur de leur fille. a) Le 1 er janvier 2019, la loi fédérale du 16 décembre 2005 sur les étrangers (LEtr; RS 142.20) a connu une modification partielle comprenant un changement de sa dénomination et de certaines de ses dispositions (modification de la LEtr du 16 décembre 2016, RO 2018 3171). Ainsi, la LEtr s'intitule nouvellement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(désignée néanmoins "LEI" en l'espèce) (arrêts PE.2018.0173 du 25 janvier 2019 consid. 3; PE.2018.0143 du 10 avril 2019 consid. 2). b) Selon l'art. 30 al. 1 let. b LEI (qui n'a pas changé après le 31 décembre 2018), il est possible de déroger aux conditions d'admission (art. 18 à 29 LEI) dans le but notamment de tenir compte des cas individuels d'une extrême gravité ou d'intérêts publics majeurs.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L'autorité dispose donc d'un large pouvoir d'appréciation, qu'elle exerce en tenant compte des intérêts publics, de la situation personnelle de l'étranger et de son degré d'intégration (cf. art. 96 al. 1 LEI), et que le Tribunal est tenu de respecter. Seuls doivent être sanctionnés l'excès ou l'abus de ce pouvoir d'appréciation (cf. art. 98 let. a LPA-VD; cf. aussi arrêt PE.2017.0418 du 8 décembre 2017 consid. 3a).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l'étranger a pu nouer pendant son séjour ne constituent normalement pas des liens si étroits avec la Suisse qu'ils justifieraient une exemption des mesures de limitation du nombre des étrangers (ATF 130 II 39 consid. 3; 128 II 200 consid. 4; TF 2A.83/2007 du 16 mai 2007 consid. 3.1).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ou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(TAF F-4861/2017 du 12 décembre 2019 consid. 5.6; F-6616/2017 du 26 novembre 2019 consid. 5.6) . S'agissant du séjour en Suisse,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128 II 200 consid. 5.3; TF 2D_57/2019 du 4 novembre 2019 consid. 6.2). c) Selon l'art. 8 par. 1 de la Convention européenne du 4 novembre 1950 de sauvegarde des droits de l'homme et des libertés fondamentales (CEDH; RS 0.101) , toute personne a droit au respect de sa vie privée et familiale. Dans l'ATF 144 I 266 du 8 mai 2018, le Tribunal fédéral a précisé et structuré sa jurisprudence relative au droit au respect de la vie privée: c 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cf. ég. TF 2C_338/2019 du 28 novembre 2019 consid. 5.3.1) En l'espèce, les recourants ne peuvent pas invoquer l'art. 8 par. 1 CEDH, dans la mesure où ils ont toujours vécu sans autorisation en Suisse. Or, la légalité du séjour est un élément déterminant s'agissant d'apprécier la portée de la protection de la vie privée. Comme le Tribunal fédéral l'a rappelé dans un arrêt récent (TF 2C_302/2019 du 1 er avril 2019 consid. 4), un étranger ne peut invoquer sa bonne intégration, si celle-ci a été acquise en marge de la légalité. Cela reviendrait sinon à admettre contre tout bon sens que l'addition d'années de séjour illégal équivaut au droit d'obtenir une autorisation de séjour fondée sur l'art. 8 CEDH et par conséquent à récompenser en dernier ressort une attitude contraire au droit. d) Aux termes de l'art. 7 de la Constitution fédérale de la Confédération suisse du 18 avril 1999 (Cst.; RS 101), la dignité humaine doit être respectée et protégée. Dans leur recours, les recourants se contentent de formuler des considérations générales en lien avec cette disposition, sans exposer précisément les motifs pour lesquels ils estiment que la décision attaquée ne respecterait pas la dignité humaine. A défaut de tels motifs, on peut sérieusement douter que ce grief soit recevable (cf. art. 79 al. 1 LPA-VD, applicable par renvoi de l'art. 99 LPA-VD). La question de savoir si l'art. 7 Cst. institue un droit individuel séparément invocable et justiciable est discutée par la doctrine (cf. à cet égard Aubert/Mahon, Petit commentaire de la Constitution fédérale de la Confédération suisse, Zurich/Bâle/Genève 2003, ch.</w:t>
      </w:r>
    </w:p>
    <w:p>
      <w:r>
        <w:rPr>
          <w:b/>
        </w:rPr>
        <w:t>E. 3</w:t>
      </w:r>
    </w:p>
    <w:p>
      <w:r>
        <w:t>Les considérants qui précèdent conduisent au rejet du recours et à la confirmation de la décision attaquée. Les frais de justice sont mis à la charge des recourants, qui succombent, solidairement entre eux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