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PE.2018.0391 vom 30. November 2018</w:t>
      </w:r>
    </w:p>
    <w:p>
      <w:r>
        <w:t>VD Tribunal cantonal, 2018-11-30, FR</w:t>
      </w:r>
    </w:p>
    <w:p>
      <w:r>
        <w:rPr>
          <w:b/>
        </w:rPr>
        <w:t xml:space="preserve">Quelle: </w:t>
      </w:r>
      <w:r>
        <w:t>https://mcp.opencaselaw.ch/entscheid/vd_omni_PE.2018.0391</w:t>
      </w:r>
    </w:p>
    <w:p>
      <w:r>
        <w:t>FR: VD_OMNI PE.2018.0391 du 30 novembre 2018</w:t>
      </w:r>
    </w:p>
    <w:p>
      <w:r>
        <w:t>IT: VD_OMNI PE.2018.0391 del 30 novembre 2018</w:t>
      </w:r>
    </w:p>
    <w:p>
      <w:pPr>
        <w:pStyle w:val="Heading2"/>
      </w:pPr>
      <w:r>
        <w:t>Regeste</w:t>
      </w:r>
    </w:p>
    <w:p>
      <w:r>
        <w:t>A.________/Service de l'emploi (SDE), Service de la population (SPOP), B.________ | Confirmation de la décision du SDE, refusant d'autoriser la prise d'emploi d'une ressortissante canadienne en qualité de "proche-aidante". L'employeur n'a pas apporté la preuve qu'il avait recherché, en vain, un travailleur correspondant au profil requis en Suisse ou dans un Etat avec lequel a été conclu un accord sur la libre circulation des personnes. Rien n'indique par ailleurs que l'employée visée par la demande disposerait des qualifications requises pour obtenir une autorisation de séjour en tant que "proche-aidante" ou pour du personnel de maison. Recours manifestement mal fondé.</w:t>
      </w:r>
    </w:p>
    <w:p>
      <w:pPr>
        <w:pStyle w:val="Heading2"/>
      </w:pPr>
      <w:r>
        <w:t>Erwägungen</w:t>
      </w:r>
    </w:p>
    <w:p>
      <w:r>
        <w:rPr>
          <w:b/>
        </w:rPr>
        <w:t>E. 1</w:t>
      </w:r>
    </w:p>
    <w:p>
      <w:r>
        <w:t>Déposé dans le délai de trente jours dès la notification de la décision attaquée, le recours est recevable si bien qu'il convient d'entrer en matière.</w:t>
      </w:r>
    </w:p>
    <w:p>
      <w:r>
        <w:rPr>
          <w:b/>
        </w:rPr>
        <w:t>E. 2</w:t>
      </w:r>
    </w:p>
    <w:p>
      <w:r>
        <w:t>Est litigieuse la demande d'autorisation de séjour présentée par le recourant pour une ressortissante canadienne, dont il ne ressort pas du dossier qu'elle disposerait d'un droit à l'obtention d'une autorisation de séjour et de travail en vertu d'une norme particulière du droit fédéral ou d'un traité international a) Aux termes de l’art. 40 al. 2 LEtr,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LEtr. Cette compétence est attribuée au SDE, vu l’art. 64 let. a de la loi cantonale du 5 juillet 2005 sur l'emploi (LEmp; RSV 822.11).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SDE en l'occurrence (cf. art. 64 al. 1 let. a de la loi vaudoise sur l’emploi du 5 juillet 2005 [LEmp; RSV 822.11]) - décide si l'activité d'un étranger est considérée comme une activité lucrative au sens de l'art. 11 al. 2 LEtr et, en cas de doute, il soumet le cas, pour décision, au Secrétariat d’Etat aux migrations ([SEM]; cf. art. 4 OASA). b) Aux termes de l'art. 18 LEtr, un étranger ne peut être admis en vue de l'exercice d'une activité lucrative salariée que si son admission sert les intérêts économiques du pays (let. a), si son employeur a déposé une demande (let. b) et si les conditions fixées aux art. 20 à 25 de la loi sont remplies (let. c). Ces conditions sont cumulatives (cf. Lisa Ott, in: Caroni/Gächter/Thurnherr [éditeurs], Bundesgesetz über die Ausländerinnen und Ausländer, Berne 2010, n. 2 ad art. 18 LEtr). La notion d'intérêts économiques du pays, formulée de façon ouverte à l'art. 18 let. a LEtr, concerne au premier chef le domaine du marché du travail et dépend en particulier de la situation effective du marché du travail (Message concernant la loi sur les étrangers du 8 mars 2002 [ci-après: Message LEtr] 2002 3469, ch. 1.2.3.1 p. 3485 et ch. 2.4.2 p. 3536, ad art. 17 du projet de loi).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LEtr, ch. 2.4.2 p. 3536, ad art. 17 du projet de loi). Lors de l'appréciation du cas, il convient donc de tenir compte en particulier de la situation sur le marché du travail, de l'évolution économique durable et de la capacité de l'étranger concerné de s'intégrer (cf. les directives intitulées "Domaine des étrangers" du SEM, dans leur version au 1 er juillet 2018 [ci-après: directives du SEM] ch. 4.3.1). Les étrangers nouvellement entrés dans notre pays ne doivent pas faire concurrence aux travailleurs en Suisse en provoquant, par leur disposition à accepter de moins bonnes conditions de rémunération et de travail, un dumping salarial et social (cf. Message LEtr, ch.1.2.3.1 p. 3486). En parti­culier, les intérêts économiques de la Suisse seront servis lorsque, dans un certain domaine d'activité, il existe une demande durable à laquelle la main-d’œuvre étrangère en cause est susceptible de répondre sur le long terme (cf. Marc Spescha et al ., Handbuch zum Migrationsrecht, 2 ème édition, Zurich 2015, p. 173 ch. 3.4.1; cf. également ATAF C-5184/2014 du  31 mars 2016 consid. 5.1.2; C-5912/2011 du 26 août 2015 consid. 7.1). Ainsi,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En outre, conformément à l'art. 23 al. 1 LEtr, seuls les cadres, les spécialistes ou autres travailleurs qualifiés peuvent obtenir une autorisation de courte durée ou de séjour. Peuvent toutefois être admis, en dérogation à l'al. 1, les personnes possédant des connaissances ou des capacités professionnelles particulières, si leur admission répond de manière avérée à un besoin (al. 3). Concernant les efforts de recherche de l'employeur dans le cadre de l'art. 21 LEtr, les directives du SEM, prévoient en particulier ce qui suit: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c) Pour ce qui a par ailleurs trait aux qualifications personnelles, les directives du SEM stipulent que des exceptions au sens de l'art. 23 al. 3 LEtr peuvent être admises dans certains cas en faveur du personnel de maison. La personne qui effectue les tâches domestiques et/ou qui a la garde des enfants sera en particulier considérée comme "qualifiée" si elle a déjà été employée, sur la base d’un contrat de travail ordinaire de deux ans au moins, dans la famille (et requérante) qui compte séjourner en Suisse à titre temporaire ou définitif (ch. 4.7.15.2). S’il s’agit d’un nouvel engagement, le travailleur doit apporter la preuve qu’il possède  une  expérience spécifique  de cinq  ans  au  moins  (ménage et garde d’enfants) et qu’il est au bénéfice d’une autorisation de séjour et de  travail depuis cinq ans au moins dans l’un des Etats membres de l’UE/AELE (ibid.). S’agissant de la prise en charge, à leur domicile, de personnes gravement handicapées, il  est possible d’engager à titre exceptionnel du personnel soignant ressortissant de pays non-membres de l’UE/AELE, à condition qu’il satisfasse aux critères cumulatifs suivants (ch. 4.7.15.5): «(…) - certificat médical (p. ex. une attestation de Pro Infirmis ou de l’autorité cantonale de santé publique), attestant que la personne handicapée est tributaire d’une prise en charge et de soins permanents et qu’aucune autre solution (ponctuelle), telle que des soins à domicile (SPITEX), n’est envisageable; - prise en compte des dispositions contractuelles visées au ch. 4.7.15.3. Les  dispositions relatives à l’hébergement doivent tout particulièrement être observées (cf. ch. 4.7.15.3); - preuve que les efforts de recrutement requis ont été déployés sans succès en Suisse et dans les Etats membres de l’UE/AELE; - formation de deux ans au moins dans le domaine des soins; - attestation d’une expérience professionnelle de deux ans au moins (prise en charge et soins auprès de personnes handicapées, ou ayant besoin de soins et gravement malades); - preuve que le soignant réside depuis deux ans au moins de manière régulière dans l’un des pays membres de l’UE/AELE.»</w:t>
      </w:r>
    </w:p>
    <w:p>
      <w:r>
        <w:rPr>
          <w:b/>
        </w:rPr>
        <w:t>E. 3</w:t>
      </w:r>
    </w:p>
    <w:p>
      <w:r>
        <w:t>En l'espèce, le recourant se limite à faire grief à l'autorité intimée d'avoir considéré que l'intéressée était engagée en tant qu'éducatrice et non que "proche aidante". Il a produit un diplôme d'éducation en services à l'enfance délivré par une organisation de la province canadienne de l'******** à B.________ le 29 juin 2009 ainsi qu'un "baccalauréat ès arts général avec mineure en relations humaines et spiritualité" délivré par l'Université d'******** le 21 mai 2015. Il a également produit un document intitulé "exposé des faits" mentionnant les tâches d'un "pro-aidant" (sic). Certes, l'autorité intimée paraît s'être fondée à tort lors de son examen sur le fait que la recourante aurait souhaité engager l'intéressée en tant qu'éducatrice et non que proche-aidante. Cette circonstance n'est toutefois pas de nature à justifier l'annulation de la décision attaquée ni un renvoi de la cause à l'autorité intimée pour qu'elle réexamine le dossier. En effet, même si l'on considère que la demande du recourant porte sur un engagement de l'intéressée comme "proche-aidante", celle-ci ne remplit manifestement pas les conditions posées pour la délivrance d'une autorisation de séjour. D'une part, il n'est pas établi ni même allégué que le recourant a cherché en vain un travailleur en Suisse ou dans un Etat avec lequel a été conclu un accord sur la libre circulation des personnes correspondant au profil requis. D'autre part, rien n'indique que B.________ disposerait des qualifications requises pour que la délivrance d'une autorisation de séjour avec activité lucrative en tant que "proche-aidante" ou pour du personnel de maison soit envisagée. Le recourant n'a pas non plus donné d'explications supplémentaire sur le poste envisagé, le document du 11 mars 2017 non signé et peu explicite ne lui étant d'aucun secours à cet égard.</w:t>
      </w:r>
    </w:p>
    <w:p>
      <w:r>
        <w:rPr>
          <w:b/>
        </w:rPr>
        <w:t>E. 4</w:t>
      </w:r>
    </w:p>
    <w:p>
      <w:r>
        <w:t>Manifestement mal fondé, le recours doit être rejeté selon la procédure accélérée prévue par l'art. 83 al. 2 LPA-VD.  Il est renoncé à percevoir des frais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