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PE.2018.0390 vom 27. Februar 2019</w:t>
      </w:r>
    </w:p>
    <w:p>
      <w:r>
        <w:t>VD Tribunal cantonal, 2019-02-27, FR</w:t>
      </w:r>
    </w:p>
    <w:p>
      <w:r>
        <w:rPr>
          <w:b/>
        </w:rPr>
        <w:t xml:space="preserve">Quelle: </w:t>
      </w:r>
      <w:r>
        <w:t>https://mcp.opencaselaw.ch/entscheid/vd_omni_PE.2018.0390</w:t>
      </w:r>
    </w:p>
    <w:p>
      <w:r>
        <w:t>FR: VD_OMNI PE.2018.0390 du 27 février 2019</w:t>
      </w:r>
    </w:p>
    <w:p>
      <w:r>
        <w:t>IT: VD_OMNI PE.2018.0390 del 27 febbraio 2019</w:t>
      </w:r>
    </w:p>
    <w:p>
      <w:pPr>
        <w:pStyle w:val="Heading2"/>
      </w:pPr>
      <w:r>
        <w:t>Regeste</w:t>
      </w:r>
    </w:p>
    <w:p>
      <w:r>
        <w:t>A.________/Service de la population (SPOP) | Ressortissant portugais et citoyen de l'UE, le recourant vit en Suisse depuis neuf ans mais n’exerce plus d’emploi depuis plusieurs années et dépend entièrement de l’assistance publique pour son entretien; pour ce seul motif, il y a lieu de considérer qu’il a perdu la qualité de travailleur. Condamné à douze reprises, il aura purgé, lorsque sa libération définitive interviendra, des peines privatives de liberté totalisant seize mois et vingt-sept jours; ces éléments défavorables constituent clairement un obstacle à la poursuite du séjour du recourant en Suisse. En outre, il ne démontre pas que sa réintégration au Portugal serait compromise. L'intérêt public à son éloignement l'emporte sur son intérêt privé à demeurer en Suisse, de sorte que la révocation de son autorisation de séjour et son renvoi n'apparaissent pas comme étant disproportionnés.</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a) Sur le plan du droit interne, l’art. 96 LEI exige des autorités compétentes qu’elles tiennent compte, en exerçant leur pouvoir d'appréciation, des intérêts publics, de la situation personnelle de l'étranger, ainsi que de son intégration (al. 1). De jurisprudence constante, la question de la proportionnalité de la révocation de l'autorisation de séjour doit être tranchée au regard de toutes les circonstances du cas d'espèce, les critères déterminants se rapportant notamment à la gravité de la faute commise, à la culpabilité de l'auteur, au temps écoulé depuis l'infraction, au comportement de celui-ci pendant cette période, au degré d’intégration, à la durée du séjour en Suisse et au préjudice que l'intéressé et sa famille auraient à subir du fait de la mesure. Lorsque la révocation est prononcée en raison de la commission d'une infraction,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l'expulsion administrative doivent être appréciées restrictivement (ATF 139 I 16 consid. 2.2.1 p. 19; arrêt 2C_812/2017 du 30 janvier 2018 consid.</w:t>
      </w:r>
    </w:p>
    <w:p>
      <w:r>
        <w:rPr>
          <w:b/>
        </w:rPr>
        <w:t>E. 5.1</w:t>
      </w:r>
    </w:p>
    <w:p>
      <w:r>
        <w:t>et les réf. cit.). On tiendra alors particulièrement compte de l'intensité des liens de l'étranger avec la Suisse et des difficultés de réintégration dans son pays d'origine (arrêt 2C_436/2014 du 29 octobre 2014 consid. 4.1). b) Le recourant vit en Suisse depuis un peu moins de neuf ans. Il dépend des prestations de l’assistance publique pour son entretien depuis plusieurs années. Sur une période de quatre ans, il a été condamné, on l’a dit plus haut, à douze reprises à des peines privatives de liberté totalisant seize mois et vingt-sept jours, notamment pour des délits à mettre en relation avec sa consommation de stupéfiants. La liberté conditionnelle dont il avait bénéficié le 19 mai 2017 a été révoquée six mois plus tard, compte tenu de sa récidive. Force est ainsi de constater, au vu de ces éléments, que son intégration en Suisse se révèle plutôt aléatoire. En outre, aucun élément ne permet de retenir que sa réintégration dans son pays d’origine serait compromise. Par conséquent son intérêt privé à demeurer en Suisse doit céder le pas devant l’intérêt public à ce qu’il en soit au contraire éloigné. La décision attaquée n’apparaît pas contraire au principe de proportionnalité.</w:t>
      </w:r>
    </w:p>
    <w:p>
      <w:r>
        <w:rPr>
          <w:b/>
        </w:rPr>
        <w:t>E. 6</w:t>
      </w:r>
    </w:p>
    <w:p>
      <w:r>
        <w:t>Les considérants qui précèdent conduisent ainsi le Tribunal à rejeter le recours et à confirmer la décision attaquée. Bien que le sort du recours eût commandé de mettre les frais de justice à la charge du recourant, il sera statué sans frais (art. 49,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