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PE.2018.0366 vom 20. März 2019</w:t>
      </w:r>
    </w:p>
    <w:p>
      <w:r>
        <w:t>VD Tribunal cantonal, 2019-03-20, FR</w:t>
      </w:r>
    </w:p>
    <w:p>
      <w:r>
        <w:rPr>
          <w:b/>
        </w:rPr>
        <w:t xml:space="preserve">Quelle: </w:t>
      </w:r>
      <w:r>
        <w:t>https://mcp.opencaselaw.ch/entscheid/vd_omni_PE.2018.0366</w:t>
      </w:r>
    </w:p>
    <w:p>
      <w:r>
        <w:t>FR: VD_OMNI PE.2018.0366 du 20 mars 2019</w:t>
      </w:r>
    </w:p>
    <w:p>
      <w:r>
        <w:t>IT: VD_OMNI PE.2018.0366 del 20 marzo 2019</w:t>
      </w:r>
    </w:p>
    <w:p>
      <w:pPr>
        <w:pStyle w:val="Heading2"/>
      </w:pPr>
      <w:r>
        <w:t>Regeste</w:t>
      </w:r>
    </w:p>
    <w:p>
      <w:r>
        <w:t>A.________/Service de la population (SPOP) | Recours contre le refus du SPOP d'octroyer à un ressortissant équatorien, entré illégalement en Suisse, une autorisation de séjour en vue du mariage, au motif qu'il a été condamné à une peine privative de liberté de quinze mois. Le recourant réalisant un motif de révocation au sens de l'art. 62 al. 1 let. b LEI, ses chances d'obtenir une autorisation de séjour une fois marié ne sont pas significativement supérieures à celles de se voir opposer un refus. Le SPOP n'a dès lors pas violé le droit ni abusé de son pouvoir d'appréciation. Recours rejeté.</w:t>
      </w:r>
    </w:p>
    <w:p>
      <w:pPr>
        <w:pStyle w:val="Heading2"/>
      </w:pPr>
      <w:r>
        <w:t>Erwägungen</w:t>
      </w:r>
    </w:p>
    <w:p>
      <w:r>
        <w:rPr>
          <w:b/>
        </w:rPr>
        <w:t>E. 1</w:t>
      </w:r>
    </w:p>
    <w:p>
      <w:r>
        <w:t>Interjeté en temps utile (cf. art. 95 de la loi vaudoise du 28 octobre 2008 sur la procédure administrative - LPA-VD; BLV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Equatorien, le recourant est ressortissant d’un Etat tiers, avec lequel la Suisse n’est liée par aucune convention lui accordant un droit de séjour. Par conséquent, la demande du recourant doit être examinée exclusivement au regard du droit interne. c) S'agissant du droit interne, il convient de relever que la novelle du 16 décembre 2016 modifiant la loi fédérale du 16 décembre 2005 sur les étrangers (LEtr) est entrée en vigueur le 1 er janvier 2019. Elle a eu pour effet de modifier le titre de la loi qui s'intitule désormais la loi fédérale sur les étrangers et l'intégration (LEI; RS 142.20), ainsi qu'un certain nombre de dispositions. L'ancien droit reste toutefois applicable au cas d'espèce, la demande ayant été déposée avant l'entrée en vigueur de la novelle (art. 126 al. 1 LEI).</w:t>
      </w:r>
    </w:p>
    <w:p>
      <w:r>
        <w:rPr>
          <w:b/>
        </w:rPr>
        <w:t>E. 3</w:t>
      </w:r>
    </w:p>
    <w:p>
      <w:r>
        <w:t>Le litige porte sur le refus de l'autorité intimée d'octroyer au recourant une autorisation de séjour en vue de son mariage avec B.________. a) Selon l'art. 98 al. 4 du Code civil suisse du 10 décembre 1907 (CC; RS 210), les fiancés qui ne sont pas citoyens suisses doivent établir la légalité de leur séjour en Suisse au cours de la procédure préparatoire (al. 4). Dans sa nouvelle teneur au 1 er janvier 2011, l'art. 67 al. 3 de l'ordonnance fédérale du 21 avril 2004 sur l'état civil (OEC; RS 211.112.2) précise que l'office de l'état civil refuse de célébrer le mariage, notamment, si les fiancés qui ne sont pas citoyens suisses n'ont pas établi la légalité de leur séjour en Suisse. Dans la perspective d'une application de la loi conforme à la Constitution (art. 14 Cst.) et au droit conventionnel (art. 12 de la convention du 4 novembre 1950 de sauvegarde des droits de l'homme et des libertés fondamentales [CEDH; RS 0.101]),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(cf. ATF 138 I 41 consid. 4 p. 47; 137 I 351 consid. 3.7 p. 360; arrêts du Tribunal fédéral 2C_81/2016 du 15 février 2016 consid. 6.1; 2C_643/2012 du 18 septembre 2012 consid. 3.1; 2C_117/2012 du 11 juin 2012 consid. 4.2). b) L'art. 17 LEI, que la jurisprudence applique par analogie aux personnes entrées illégalement en Suisse (ATF 139 I 37 consid. 2.1), dispose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Une telle autorisation temporaire, dite de "séjour procédural", ne peut être accordée que lorsque les conditions d'admission sont "manifestement" remplies. Selon l’art. 6 al. 1 de l'ordonnance fédérale du 24 octobre 2007 relative à l’admission, au séjour et à l’exercice d’une activité lucrative (OASA; RS 142.201),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Le "séjour procédural" vise à modérer l'obligation de quitter la Suisse imposée par l'art. 17 al. 1 LEI lorsqu'une autorisation de séjour sera vraisemblablement délivrée, au point de priver de sens un tel départ. La question de savoir si une telle autorisation peut manifestement être accordée doit être examinée sur la base d'une appréciation sommaire des chances de succès, conformément à la pratique en matière de mesures provisionnelles (ATF 139 I 37 consid. 2.2; arrêt TF 2D_74/2015 du 28 avril 2016 consid. 2.2). Dès lors que l'art. 17 al. 2 LEI exige que les conditions de délivrance de l'autorisation de séjour soient manifestement remplies, le requérant au bénéfice d'un droit à un tel permis doit être autorisé à séjourner, respectivement à poursuivre son séjour en Suisse lorsque les chances que l'autorisation soit délivrée apparaissent significativement plus élevées que celles qu'elle soit refusée (ATF 139 I 37 consid. 4.1; arrêts TF 2D_74/2015 du 28 avril 2016 consid. 2.2; 2C_76/2013 du 23 mai 2013 consid. 2.3.2). A cet égard, l'autorité n'est pas tenue de procéder à une instruction approfondie; inversement toutefois, elle ne saurait se prononcer d'une manière schématique et doit peser, dans le cadre de l'art. 96 LEI, les circonstances qui lui sont connues. Lorsque l'intéressé peut se prévaloir d'un droit à une autorisation de séjour, l'existence de motifs de refus (mariage de complaisance, condamnations pénales, dépendance à l'aide sociale, etc.), permettant de dénier que les conditions d'admission sont manifestement remplies au sens de l'art. 17 al. 2 LEI, doit reposer sur des indices concrets suffisants; de vagues suppositions, dénuées d'ancrage tangible, ne suffisent pas (ATF 139 I 37 consid. 3.5 et 4.2; TF 2D_74/2015 du 28 avril 2016 consid. 2.2 et 2.3). c) L'art. 30 al. 1 let. b LEI - en relation avec l'art. 31 OASA - prévoit qu'il est possible de déroger aux conditions d'admission (art. 18 à 29) dans le but de tenir compte des cas individuels d'extrême gravité. Cette disposition permet en particulier de délivrer une autorisation de séjour en vue de mariage. Les directives établies par le Secrétariat d'Etat aux migrations (SEM) dans le domaine des étrangers, dans leur version du 1er juillet 2018, prévoient à cet égard ce qui suit à leur ch. 5.6.6: " En application de l’art. 30, let. b, LEtr [LEI],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autorisation. "</w:t>
      </w:r>
    </w:p>
    <w:p>
      <w:r>
        <w:rPr>
          <w:b/>
        </w:rPr>
        <w:t>E. 4</w:t>
      </w:r>
    </w:p>
    <w:p>
      <w:r>
        <w:t>Dans le cas d'espèce, il convient de vérifier s'il apparaît clairement que le recourant remplira les conditions d'une admission en Suisse après son union avec sa compagne. a) En tant que B.________ est au bénéfice d'une autorisation de séjour (permis B), le recourant pourrait prétendre à une telle autorisation, en cas de mariage avec l'intéressée, en application de l'art. 44 LEI (dans sa teneur jusqu'au 31 décembre 2018), dont il résulte que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b) Selon l'art. 62 LEI, l'autorité compétente peut révoquer une autorisation, à l'exception de l'autorisation d'établissement, ou une autre décision fondée sur la présente loi (al. 1) notamment si l'étranger ou son représentant légal a fait de fausses déclarations ou a dissimulé des faits essentiels durant la procédure d'autorisation (let. a), si l'étranger a été condamné à une peine privative de liberté de longue durée ou a fait l'objet d'une mesure pénale prévue aux art. 59 à 61 ou 64 CP (let. b), s'il attente de manière grave ou répétée à la sécurité et l'ordre publics en Suisse ou à l'étranger, les met en danger ou représente une menace pour la sécurité intérieure ou extérieure de la Suisse (let. c) ou encore si lui-même ou une personne dont il a la charge dépend de l'aide sociale (let. e). Selon la jurisprudence, est constitutive d'une peine privative de liberté de longue durée au sens de l'art. 62 al. 1 let. b LEI toute peine privative de liberté de plus d'une année (365 jours); il s'agit d'une limite fixe, indépendante des circonstances du cas d'espèce (ATF 135 II 377 consid. 4.2). Une telle peine doit impérativement résulter d'un seul jugement pénal, peu important pour le reste qu'elle ait été prononcée avec un sursis complet ou partiel, ou sans sursis (ATF 139 I 16 consid. 2.1; 137 II 297 consid. 2.3; arrêt TF 2C_1011/2016 du 21 mars 2017 consid. 4.4). Quant à l'hypothèse visée par l'art. 62 al. 1 let. c LEI, il y a notamment atteinte à la sécurité et à l'ordre publics, au sens de cette disposition, en cas de violation importante ou répétée de prescriptions légales ou de décisions d'autorité (cf. art. 80 al. 1 let. a OASA, en vigueur jusqu'au 31 décembre 2018); tel est également le cas lorsque les actes individuels ne justifient pas en eux-mêmes une révocation mais que leur répétition montre que la personne concernée n'est pas prête à se conformer à l'ordre en vigueur (arrêt TF 2C_317/2016 du 14 septembre 2016 consid. 4.4 et les références). c) Un étranger peut en outre, selon les circonstances, se prévaloir de l'art. 8 par. 1 CEDH, qui garantit le respect de la vie privée et familiale (comme l'art. 13 al. 1 Cst.), pour s'opposer à l'éventuelle séparation de sa famille. Pour pouvoir invoquer cette disposition, il doit pouvoir justifier d'une relation étroite et effective avec une personne de sa famille ayant un droit de résider durablement en Suisse, ce qui suppose qu'elle ait la nationalité suisse ou qu'elle soit au bénéfice d'une autorisation d'établissement ou d'un droit certain à une autorisation de séjour (ATF 135 I 143 consid. 1.3.1). La jurisprudence admet exceptionnellement qu'une simple autorisation annuelle de séjour confère un droit de présence durable, à condition que l'étranger disposant de l'autorisation de séjour puisse se prévaloir d'une intégration sociale et professionnelle particulièrement intense (cf. ATF 130 II 281 consid. 3.2) ou de motifs d'ordre humanitaire (cf. ATF 137 I 351 consid. 3.1; TF 2C_1023/2016 du 11 avril 2017 consid. 5.1 et  2C_360/2016 du 31 janvier 2017 consid. 5.1).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(ATF 137 I 284 consid. 2.1; 135 I 153 consid. 2.2.1). d) En l'espèce, le recourant a été condamné, le 3 novembre 2014, à une peine privative de liberté de quinze mois pour tentative de lésions corporelles graves, injure, menaces, entrée illégale, séjour illégal et exercice d'une activité lucrative sans autorisation. La durée de cette peine dépasse celle d'une année à partir de laquelle elle doit être qualifiée de longue au sens de l'art. 62 al. 1 let. b LEI, justifiant la révocation de l'autorisation de séjour en application de cette disposition. Force est ainsi de constater que le recourant réalise le motif de révocation de l'art. 62 al. 1 let. b LEI, lequel s'oppose à ce qu'une autorisation de séjour lui soit délivrée une fois son union avec sa compagne célébrée. Dès lors qu'on peut retenir un motif de révocation au sens de cette disposition (let. b), la question de savoir si le motif de révocation de l'art. 62 al. 1 let. c LEI est également réalisé - comme l'invoque l'autorité intimée - peut rester indécise.</w:t>
      </w:r>
    </w:p>
    <w:p>
      <w:r>
        <w:rPr>
          <w:b/>
        </w:rPr>
        <w:t>E. 5</w:t>
      </w:r>
    </w:p>
    <w:p>
      <w:r>
        <w:t>Il reste à examiner si, en dépit de l'existence du motif de refus précité, le principe de la proportionnalité devrait conduire à accorder au recourant une autorisation de séjour après son mariage (cf. art. 96 LEI et 8 par. 2 CEDH). a) L'existence d'un ou de plusieurs motifs de révocation n'implique pas automatiquement le refus d'une autorisation de séjour à titre de regroupement familial. Il faut que la pesée des intérêts à effectuer dans le cas d'espèce fasse apparaître la mesure comme proportionnée aux circonstances (art. 96 al. 1 LEI; ATF 135 II 377 consid. 4.3). La pesée des intérêts selon la LEI se confond avec celle que le juge doit effectuer lors de la mise en œuvre de l'art. 8 par. 2 CEDH (ATF 135 II 377 consid. 4.3; arrêts TF 2C_95/2014 du 9 juillet 2015 consid. 5.4; 2C_139/2014 du 4 juillet 2014 consid. 5 et la référence citée). Dans ce cadre, il faut notamment prendre en considération la durée du séjour en Suisse (plus cette durée est longue, plus les conditions pour prononcer la décision de révocation doivent être appréciées restrictivement, cf. ATF 135 II 377 consid. 4.4 et 4.5), l'âge de l'arrivée dans ce pays, les relations sociales, familiales et professionnelles, le niveau d'intégration et les conséquences d'un renvoi de l'intéressé (arrêt TF 2C_148/2015 du 21 août 2015 consid. 5.3 et les références citées). Quand la mesure de révocation est prononcée en raison de la commission d'une infraction, les critères déterminants dans la pesée des intérêts se rapportent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31 consid. 2.3.1, 145 consid. 2.4; TF 2C_1193/2013 du 27 mai 2014 consid. 2.3). Dans ce cas, la peine infligée par le juge pénal est le premier critère à utiliser pour évaluer la gravité de la faute et pour procéder à la pesée des intérêts en présence. A ce propos, le Tribunal fédéral se montre particulièrement rigoureux en présence d'infractions à la législation sur les stupéfiants, d'actes de violence criminelle et d'infractions contre l'intégrité sexuelle (cf. notamment ATF 139 II 121 consid. 5.3 p. 125 s. et les références citées; ATF 136 II 5 consid. 4.2 p. 20; ATF 130 II 176 consid. 3.4.1 p. 83). L'existence d'une condamnation pénale ne peut en principe pas faire indéfiniment échec à l'examen d'une (nouvelle) demande d'autorisation de séjour (arrêts TF 2C_176/2017 du 23 juin 2017 consid. 4.3; 2C_1224/2013 du 12 décembre 2014 consid. 5.1.1; 2C_953/2013 du 16 septembre 2014 consid. 3.3 et les références citées). L'intérêt public général à la prévention du danger que représente l'éloignement de l'étranger perd en importance avec les années. Si l'étranger s'est comporté correctement depuis lors et qu'il ne présente plus de risque pour l'intérêt public, les considérations de prévention générale ne sont en principe pas à elles seules suffisantes pour justifier une limitation continuelle au regroupement familial (ATF 136 II 5 consid. 4.2 p. 20; TF 2C_176/2017 du 23 juin 2017 consid. 4.3). L'écoulement du temps doit cependant s'accompagner à tout le moins d'un changement de comportement de l'intéressé, ce qui commence par le respect des décisions prononcées (cf. TF 2C_555/2015 du 21 décembre 2015 consid. 5.3 et les arrêts cités). Il peut ainsi conduire à un autre résultat de la pesée d'intérêts qu'au moment de la mesure d'éloignement, à condition toutefois d'être conjugué avec un comportement correct de la part de l'intéressé (TF 2C_950/2014 du 9 juillet 2015 consid. 5.4.4; 2C_46/2014 du 15 septembre 2014 consid. 6.4.1; 2C_1170/2013 consid. 3.3; 2C_36/2009 du 20 octobre 2009 consid. 3.2). Doit ainsi être réservé le cas où l'étranger ne respecterait pas son devoir de quitter la Suisse après l'entrée en force de la décision de révocation, respectivement de non-renouvellement de son autorisation de séjour ou d'établissement (TF 2C_1224/2013 du 12 décembre 2014 consid. 5.1.2). b) En l'espèce, comme on l'a vu, le recourant a été condamné à une peine privative de liberté de quinze mois pour une infraction dont la nature - en lien notamment avec la violence criminelle - est en outre de celles pour lesquelles la jurisprudence se montre particulièrement rigoureuse (cf. ATF 139 II 121 consid. 5.3 et les références). Dans ces circonstances, et sans même prendre en considération la procédure pénale PE******** qui a fait l'objet d'un classement, il convient de retenir une faute d'une certaine gravité à la charge du recourant. Il est vrai qu'au cours des quatre années qui se sont écoulées depuis cette condamnation, le recourant n'a pas fait l'objet de nouvelles condamnations; cela étant, comme l'a relevé l'autorité intimée, le recourant a toutefois fait le choix de demeurer en Suisse sans titre de séjour alors qu'il avait notamment été condamné pour ce motif. En tout état, il apparaîtrait hâtif de retenir, à ce stade, un changement de comportement du recourant dans la durée, et ce, quand bien même ce dernier allègue que la condamnation en cause serait isolée et aurait été le résultat " d'une situation particulière ". Pour le surplus, il convient de prendre en considération dans la pesée des intérêts, la durée du séjour en Suisse, l'âge d'arrivée dans ce pays, les relations sociales, familiales et professionnelles, le niveau d'intégration et les conséquences d'un renvoi de l'intéressé. En l'occurrence, le recourant est arrivé en Suisse en mars 2011 selon ses déclarations, soit à l'âge de 22 ans. Il n'a jamais séjourné légalement dans ce pays, de sorte que la durée de son séjour - de sept ans - doit à l'évidence être relativisée. S'agissant de son intégration, les éléments au dossier ne permettent pas d'arriver à la conclusion d'une intégration réussie; une promesse d'embauche, une vie de couple et des relations familiales - avec sa propre famille et celle de sa compagne - en Suisse ne sauraient constituer des éléments suffisants à cet égard. Quant à son renvoi de Suisse, il ne sera certes pas sans inconvénient pour sa compagne. Cela étant, même à admettre le caractère étroit et effectif de la relation que le recourant entretient avec elle, cet élément ne serait pas à lui seul déterminant dans la pesée des intérêts, étant précisé que B.________ ne pouvait ignorer, lorsqu'elle a décidé d'entreprendre les démarches en vue du mariage, que le recourant risquait de devoir quitter la Suisse, compte tenu de la précarité de sa situation. Enfin, le recourant étant encore jeune - âgé de juste 30 ans -, aucun élément ne laisse à penser que sa réintégration, que ce soit dans son pays d'origine - où il a vécu jusqu'à l'âge de 18 ans -, ou en Espagne - où il a vécu plusieurs années au côté de ses deux enfants mineurs -, serait compromise. Par conséquent, il n'y a pas lieu de retenir que l'intérêt du recourant à vivre avec sa compagne en Suisse l'emporterait clairement sur l'intérêt public à son éloignement. c) Procédant à une appréciation anticipée des preuves qui lui sont proposées (cf. ATF 140 I 285 consid. 6.3.1 in fine et les références), le Tribunal considère en outre qu'il n'y a pas davantage lieu de faire droit à la requête - certes implicite - du recourant tendant à ce que soit ordonnée son audition. Ses déclarations, en lien comme suggéré dans ses écritures, avec les relations qu'il entretient avec sa compagne et les enfants de cette dernière, ainsi qu'avec sa propre famille, indépendamment même du fait que leur valeur probante pourrait être sujette à caution, ne seraient en effet dans tous les cas pas de nature à remettre en cause la conviction que le Tribunal s'est formée sur la base des pièces et éléments au dossier et à avoir une incidence décisive sur l'issue du litige, telle qu'elle résulte des considérants ci-dessus. On relèvera enfin que l'art. 62 al. 2 LEI, dont il résulte qu'est illicite toute révocation fondée uniquement sur des infractions pour lesquelles un juge pénal a déjà prononcé une peine ou une mesure mais a renoncé à prononcer une expulsion, ne trouve dans tous les cas pas application en l'occurrence, dès lors que la condamnation du recourant est antérieure à son entrée en vigueur (le 1er octobre 2016) - et ce indépendamment même de la portée de cette disposition lorsqu'il ne s'agit pas à proprement parler de statuer sur la révocation d'une autorisation de séjour mais bien plutôt sur l'octroi initial d'une telle autorisation (en l'espèce dans le cadre d'une demande en lien avec une procédure préparatoire de mariage).</w:t>
      </w:r>
    </w:p>
    <w:p>
      <w:r>
        <w:rPr>
          <w:b/>
        </w:rPr>
        <w:t>E. 6</w:t>
      </w:r>
    </w:p>
    <w:p>
      <w:r>
        <w:t>Dans ces conditions, il convient de dénier que le recourant remplira clairement les conditions d'une admission en Suisse après son union avec sa compagne (ATF 137 I 351 consid. 3.7 p. 360). En d'autres termes, les chances du recourant d'obtenir une autorisation de séjour une fois marié ne sont pas significativement supérieures à celles de se voir opposer un refus (ATF 139 I 37 consid. 4.1). L'autorité intimée n'a dès lors pas violé le droit ni abusé de son pouvoir d'appréciation en refusant d'accorder au recourant, en application des art. 30 al. 1 let. b, 62 al. 1 let. b, 96 al. 1 LEI et 31 al. 1 OASA, une autorisation de séjour en vue de mariage.</w:t>
      </w:r>
    </w:p>
    <w:p>
      <w:r>
        <w:rPr>
          <w:b/>
        </w:rPr>
        <w:t>E. 7</w:t>
      </w:r>
    </w:p>
    <w:p>
      <w:r>
        <w:t>a) Il résulte de ce qui précède que le recours doit être rejeté et la décision attaquée confirmée. b) Compte tenu de ses ressources, le recourant a été mis au bénéfice de l'assistance judiciaire par décision du 12 septembre 2018.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figurant sur la liste des opérations et débours (art. 3 al. 1 RAJ). En l'occurrence, dans sa liste des opérations du 18 janvier 2019, le conseil d'office du recourant a annoncé avoir consacré à l'affaire 5 heures et 45 minutes. Le montant des honoraires est donc arrêté à 1'035 fr. (5h 45 x 180 fr.). S'agissant des débours, le conseil a indiqué un montant de 20 fr. 60. Compte tenu de la TVA au taux de 7.7% (81 fr. 30), l'indemnité de conseil d'office s'élève dès lors à 1'136 fr. 90. c) Il se justifie de renoncer à la perception d’un émolument (art. 49 al. 1, 50, 91 et 99 LPA-VD). d) L'indemnité de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 Vu le sort du recours,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