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PE.2018.0347 vom 31. Oktober 2019</w:t>
      </w:r>
    </w:p>
    <w:p>
      <w:r>
        <w:t>VD Tribunal cantonal, 2019-10-31, FR</w:t>
      </w:r>
    </w:p>
    <w:p>
      <w:r>
        <w:rPr>
          <w:b/>
        </w:rPr>
        <w:t xml:space="preserve">Quelle: </w:t>
      </w:r>
      <w:r>
        <w:t>https://mcp.opencaselaw.ch/entscheid/vd_omni_PE.2018.0347</w:t>
      </w:r>
    </w:p>
    <w:p>
      <w:r>
        <w:t>FR: VD_OMNI PE.2018.0347 du 31 octobre 2019</w:t>
      </w:r>
    </w:p>
    <w:p>
      <w:r>
        <w:t>IT: VD_OMNI PE.2018.0347 del 31 ottobre 2019</w:t>
      </w:r>
    </w:p>
    <w:p>
      <w:pPr>
        <w:pStyle w:val="Heading2"/>
      </w:pPr>
      <w:r>
        <w:t>Regeste</w:t>
      </w:r>
    </w:p>
    <w:p>
      <w:r>
        <w:t>A.________/Service de la population (SPOP) | Recours d'un ressortissant kosovar contre le refus du SPOP de lui délivrer une autorisation de séjour pour cas de rigueur. Le recourant a presque toujours séjourné illégalement en Suisse depuis 1994. Il est revenu plusieurs fois clandestinement dans notre pays, malgré les mesures de renvoi et d'interdiction d'entrée prises à son encontre. Il ne présente pas une intégration socio-professionnelle exceptionnelle, a été condamné pénalement à quatre reprises et devrait pouvoir se réintégrer au Kosovo.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 recourant estime qu'il doit pouvoir être mis au bénéfice d'une autorisation de séjour pour cas de rigueur. a) Le 1 er janvier 2019, la loi fédérale du 16 décembre 2005 sur les étrangers (LEtr; RS 142.20) a connu une modification partielle comprenant un changement de sa dénomination et de certaines de ses dispositions (modification de la LEtr du 16 décembre 2016, RO 2018 3171). Ainsi, la LEtr s'intitule nouvellement loi fédérale sur les étrangers et l'intégration (LEI).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(désignée néanmoins "LEI" en l'espèce) (CDAP PE.2018.0173 du 25 janvier 2019 consid. 3 et PE.2018.0143 du 10 avril 2019 consid. 2). b) A teneur de l'art. 30 al. 1 let. b LEI, il est possible de déroger aux conditions d'admission (art. 18 à 29 LEI) dans le but notamment de tenir compte des cas individuels d'une extrême gravité ou d'intérêts publics majeurs. L'art. 30 al. 1 let. b LEI est concrétisé par l'art. 31 de l'ordonnance fédérale du 24 octobre 2007 relative à l'admission, au séjour et à l'exercice d'une activité lucrative (OASA; RS 142.201), qui comprend une liste exemplative des critères à prendre en considération pour la reconnaissance des cas de rigueur . Dans sa teneur en vigueur jusqu'au 31 décembre 2018, applicable en l'espèce (cf. art. 126 al. 1 LEI par analogie),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L'autorité dispose donc d'un large pouvoir d'appréciation dans le cadre de la présente cause.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encore faut-il que la relation de l'intéressé avec la Suisse soit si étroite qu'on ne puisse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ou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du TAF F‑4949/2017 du 30 août 2019 consid. 6.2.2 et F-6510/2017 du 6 juin 2019 consid. 5.6) Le Tribunal fédéral a précisé que la durée d'un séjour précaire ou illégal n'est en principe pas prise en compte dans l'examen d'un cas de rigueur ou alors seulement dans une mesure très restreinte, faute de quoi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Outre les critères mentionnés à l'art. 31 OASA, il convient également de prendre en compte les circonstances inhérentes au cas d'espèce, telles que par exemple le retard des autorités à décider du sort de la demande d'asile du requérant ou leur laxisme lorsqu'elles ont négligé d'exécuter une décision prononçant le renvoi de Suisse de l'intéressé (ATF 139 I 30 consid. 3; 137 II 1 consid. 4.3; 134 II 10 consid. 4.3; 130 II 39 consid. 3). c) En l'espèce, le recourant est arrivé en Suisse en 1994, à l'âge de dix-sept ans. Il explique qu'il y a vécu depuis lors et jusqu'à ce jour sans interruption notable, ce qui paraît vraisemblable compte tenu des éléments figurant au dossier. Il n'a toutefois jamais séjourné de manière légale dans notre pays, si ce n'est au cours de sa procédure d'asile et de la brève période pendant laquelle il a été mis au bénéfice d'une admission provisoire. Une partie des condamnations pénales dont il fait l'objet se rapporte d'ailleurs à des entrées et séjours illégaux. Ainsi, la durée du séjour du recourant en Suisse, d'un peu plus de 25 ans si l'on fait abstraction des courtes périodes pendant lesquelles il est retourné au Kosovo, ne saurait jouer un rôle décisif dans l'appréciation du cas. Il convient d'examiner s'il existe d'autres circonstances exceptionnelles à même de justifier la reconnaissance d'un cas individuel d'une extrême gravité. Sur le plan professionnel, il ressort du compte individuel AVS du recourant qu'il a régulièrement travaillé en Suisse entre 1995 et 2012, et en 2017. Ainsi, l'intéressé a fourni de réels efforts pour s'insérer sur le marché de l'emploi et ne pas dépendre de l'aide sociale. Les activités exercées l'ont toutefois été illégalement et ne doivent être prises en compte que dans une moindre mesure, faute de quoi l'on mettrait le recourant sur le même pied qu'un travailleur au bénéfice d'une autorisation de séjour. Il y a par ailleurs eu de nombreuses périodes pendant lesquelles il n'a pas travaillé, parfois en bénéficiant des indemnités de chômage. En définitive, le recourant n'est jamais parvenu à stabiliser sa situation professionnelle et rien ne permet de penser que tel pourrait être le cas dans un avenir proche. Il est actuellement en incapacité de travail à la suite d'un accident survenu au mois de décembre 2017 et son état de santé ne semble pas être sur le point de s'améliorer. Il ne fait de surcroît pas état de compétences particulièrement poussées. On ne saurait dès lors considérer son intégration professionnelle comme étant réussie. Le recourant se prévaut de sa bonne intégration sociale. Il relève qu'il maîtrise parfaitement le français, qu'il dispose d'un cercle d'amis très étendu et qu'il a fréquenté pendant de nombreuses années le club de football de ********. Ces éléments - non documentés - sont certes appréciables, car ils témoignent des efforts entrepris pour tisser un certain réseau social dans notre pays et prendre part à la vie locale. Il ne faut toutefois pas perdre de vue qu'il est parfaitement normal qu'une personne, ayant effectué un séjour prolongé dans un pays tiers, s'y soit créé des attaches, se soit familiarisée avec le mode de vie et parle au moins l'une des langues nationales. Par conséquent, on ne peut pas considérer que le recourant présente une intégration sociale particulièrement poussée, qui justifierait à elle seule l'admission d'un cas de rigueur. S'agissant du respect de l'ordre juridique, on relève en premier lieu que le recourant ne s'est jamais conformé aux décisions rendues à son endroit par les autorités compétentes en matière d'asile et de police des étrangers. Après la levée de son admission provisoire, en 1999, il a disparu dans la clandestinité pour éviter de retourner au Kosovo. Entre 2002 et 2006, il a fait l'objet de quatre renvois dans son pays d'origine, exécutés avec des mesures de contrainte, et de plusieurs décisions d'interdiction d'entrée en Suisse. Cela ne l'a pas empêché de revenir chaque fois clandestinement dans notre pays. Après un nouveau transfert au Kosovo, le 5 février 2015, et une décision de refus d'autorisation de séjour pour cas de rigueur du SPoMi du 24 mars 2015, confirmée par le Tribunal cantonal de Fribourg et le Tribunal fédéral, le recourant s'est obstiné à revenir une nouvelle fois en Suisse le 28 mai 2015. Il a été condamné à plusieurs reprises pour être entré et avoir séjourné et travaillé dans notre pays de manière illégale . S'il ne faut certes pas exagérer l'importance des infractions aux prescriptions de police des étrangers inhérentes à la condition de travailleur clandestin, on ne peut néanmoins en faire totalement abstraction (ATF 130 II 39 consid. 5.2; TAF F-3272/2014 du 18 août 2016 consid. 6.5), ce d'autant plus que le recourant a agi en l'espèce en connaissance de cause et sur une période prolongée. Il a du reste fait l'objet de deux autres condamnations pénales pour conduite d'un véhicule automobile sans permis de conduire et faux dans les certificats. Le recourant fait valoir que les autorités compétentes n'ont pas exécuté les décisions d'interdiction d'entrée dont il a fait l'objet et que les institutions en charge de la perception des cotisations sociales et des impôts n'ont pris aucune mesure à son endroit même si elles connaissaient sa situation irrégulière. Il se réfère au ch. 5.6.10 des Directives et commentaires édictés par le SEM dans le domaine des étrangers (Directives LEI), qui prévoient que si le séjour illégal a été implicitement toléré jusque-là par les autorités chargées de l'application des prescriptions sur les étrangers et de l’exécution (communes ou cantons), cet aspect pèsera en faveur de l’étranger pour l'examen du cas de rigueur. Cet argument tombe cependant à faux en l'espèce, puisque les autorités cantonales fribourgeoises et vaudoises ont exécuté à cinq reprises le renvoi du recourant au Kosovo. L'on ne saurait parler d'une tolérance de séjour, en présence d'un individu qui s'est obstiné à revenir systématiquement en Suisse en dépit des nombreuses décisions de refus et d'interdiction d'entrée prises à son encontre. Le recourant soutient enfin qu'il ne conçoit pas sa vie ailleurs qu'en Suisse, où se trouve l'un de ses frères, et que son éloignement aurait de graves conséquences pour lui. Il convient cependant de relever que c'est au Kosovo qu'il a passé son enfance et la plus grande partie de son adolescence, jusqu'à ses dix-sept ans. Or, cette période de la vie - et non celle comprise entre 20 et 40 ans comme l'affirme le recourant - est essentielle du point de vue du développement personnel, scolaire et professionnel et entraîne une intégration accrue dans un milieu déterminé (ATF 133 II 6 consid. 3.1.1; 123 II 125 consid. 4b ; arrêt du TAF F-3493/2017 du 12 septembre 2019 consid. 7.7.1). Ainsi, les racines socio-culturelles du recourant se trouvent dans ce pays, où il a de plus effectué plusieurs séjours en 2002, 2003, 2004, 2006 et 2015 dans le cadre de renvois. Il y conserve en outre des membres de sa famille proche, notamment ses parents et certains de ses frères et sœurs. Même si ses relations avec eux ne sont probablement plus particulièrement étroites du fait qu'il a quitté sa patrie 25 ans en arrière, aucun élément ne permet de considérer qu'il ne pourrait pas compter sur leur soutien à son retour. On relève encore que le recourant est jeune et qu'il n'a pas d'enfant à charge. Actuellement en incapacité de travail, il devrait être en mesure de trouver un emploi une fois qu'il sera complètement rétabli, comme il en exprime le souhait dans son recours. Il ne devrait donc pas être confronté à des difficultés de réintégration insurmontables au Kosovo. Au regard de ces éléments, il apparaît que l'autorité intimée n'a pas violé le droit, ni abusé de son pouvoir d'appréciation en considérant que la situation du recourant ne revêtait pas le caractère d'exception requis par la jurisprudence pour pouvoir constituer un cas individuel d’extrême gravité au sens de l'art. 30 al. 1 let. b LEI.</w:t>
      </w:r>
    </w:p>
    <w:p>
      <w:r>
        <w:rPr>
          <w:b/>
        </w:rPr>
        <w:t>E. 3</w:t>
      </w:r>
    </w:p>
    <w:p>
      <w:r>
        <w:t>Les considérants qui précèdent conduisent au rejet du recours et à la confirmation de la décision attaquée. Les frais de justice sont mis à la charge du recourant, qui succombe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