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PE.2018.0298 vom 3. April 2019</w:t>
      </w:r>
    </w:p>
    <w:p>
      <w:r>
        <w:t>VD Tribunal cantonal, 2019-04-03, FR</w:t>
      </w:r>
    </w:p>
    <w:p>
      <w:r>
        <w:rPr>
          <w:b/>
        </w:rPr>
        <w:t xml:space="preserve">Quelle: </w:t>
      </w:r>
      <w:r>
        <w:t>https://mcp.opencaselaw.ch/entscheid/vd_omni_PE.2018.0298</w:t>
      </w:r>
    </w:p>
    <w:p>
      <w:r>
        <w:t>FR: VD_OMNI PE.2018.0298 du 3 avril 2019</w:t>
      </w:r>
    </w:p>
    <w:p>
      <w:r>
        <w:t>IT: VD_OMNI PE.2018.0298 del 3 aprile 2019</w:t>
      </w:r>
    </w:p>
    <w:p>
      <w:pPr>
        <w:pStyle w:val="Heading2"/>
      </w:pPr>
      <w:r>
        <w:t>Regeste</w:t>
      </w:r>
    </w:p>
    <w:p>
      <w:r>
        <w:t>A.________ /Service de la population (SPOP) | Confirmation de la décision du SPOP, refusant l'octroi d'une autorisation de séjour pour cas de rigueur à un ressortissant macédonien ayant vécu illégalement une dizaine d'année en Suisse en tant que "travailleur au gris". L'intégration professionnelle du recourant ne revêt pas un caractère exceptionnel, permettant d'établir l'existence de liens particulièrement intenses avec la Suisse. Le recourant, qui a quitté son pays à l'âge de 38 ans, ne devrait pas rencontrer de difficultés insurmontables pour s'y réintégrer. Recours rejeté.</w:t>
      </w:r>
    </w:p>
    <w:p>
      <w:pPr>
        <w:pStyle w:val="Heading2"/>
      </w:pPr>
      <w:r>
        <w:t>Erwägungen</w:t>
      </w:r>
    </w:p>
    <w:p>
      <w:r>
        <w:rPr>
          <w:b/>
        </w:rPr>
        <w:t>E. 1</w:t>
      </w:r>
    </w:p>
    <w:p>
      <w:r>
        <w:t>Le recourant est directement touché par la décision attaquée, contre laquelle il a recouru devant le tribunal compétent, dans le délai et le respect des formes prescrites (art. 75 al. 1 let. a, 79 al. 1, 92 al. 1, 95 et 99 de la loi du 28 octobre 2008 sur la procédure administrative [LPA-VD; BLV 173.36]). Le recours est recevable.</w:t>
      </w:r>
    </w:p>
    <w:p>
      <w:r>
        <w:rPr>
          <w:b/>
        </w:rPr>
        <w:t>E. 2</w:t>
      </w:r>
    </w:p>
    <w:p>
      <w:r>
        <w:t>Le recourant reproche à l'autorité intimée d'avoir nié l'existence d'un cas de rigueur. a) Aux termes de l'art. 30 al. 1 let. b de la loi fédérale du 16 décembre 2005 sur les étrangers et l'intégration (LEI; RS 142.20), il est possible de déroger aux conditions d’admission (art. 18 à 29) notamment afin de tenir compte des cas individuels d'une extrême gravité ou d'intérêts publics majeurs (let. b). L'art. 31 al. 1 de l'ordonnance fédérale du 24 octobre 2007 relative à l'admission, au séjour et à l'exercice d'une activité lucrative (OASA; RS 142.201), qui comprend une liste exemplative des critères à prendre en considération pour la reconnaissance des cas individuels d'une extrême gravité, précise – dans sa teneur jusqu'au 31 décembre 2018, applicable en l'espèce (cf. art. 126 al. 1 LEI par analogie) - qu'il convient, lors de l'appréciation,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ég. arrêts PE.2018.0400 du 26 février 2019 consid. 5b; PE.2018.0361 du 31 janvier 2019 consid. 4c).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CDAP arrêts PE.2018.0400 du 26 février 2019 consid. 5b; PE.2018.0361 du 31 janvier 2019 consid. 4c; PE.2018.0373 du 31 janvier 2019 consid. 2a et les références). S'agissant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(ATF 137 II 1 consid. 4.3; 134 II 10 consid. 4.3; 130 II 39 consid. 3). La légalité du séjour est également un élément déterminant pour apprécier la portée de la protection de la vie privée (telle que garantie par l'art. 8 par. 1 CEDH) conformément à l'ATF 144 I 266 consid. 3.9, à teneur duquel il y a lieu de présumer, après un séjour régulier d'une durée de dix ans, que les relations sociales entretenues en Suisse par la personne concernée sont devenues si étroites, que des raisons particulières sont nécessaires pour mettre fin à son séjour dans ce pays (cf. également arrêt TF 2C_1042/2018 du 26 novembre 2018 consid. 4.2; arrêts PE.2018.0400 précité, consid. 4 et les références citées). c) A l'appui de son recours, l'intéressé fait valoir qu'hormis pendant une courte période en 2013, il a toujours vécu en Suisse en tant que "travailleur au gris" en gagnant sa vie dans le secteur de la restauration et en payant ses cotisations sociales et ses impôts. Il a en outre produit des certificats de salaire ainsi que des attestations de paiement des cotisations sociales. Il a un casier judiciaire vierge et n'a pas de dettes. Il expose en outre ne plus avoir d'attaches dans son pays d'origine, étant divorcé de son épouse et n'ayant quasiment aucun contact avec ses deux enfants majeurs. En revanche, plusieurs de ses neveux et leur famille, avec lesquels il entretient des contacts réguliers, vivent en Suisse. Il fait en outre valoir son "excellente intégration" en Suisse à l'appui de laquelle il a produit plusieurs déclarations, émanant notamment de collègues de travail. d) En l'occurrence, le séjour du recourant en Suisse, d'une durée de près de dix ans, n'est certes pas négligeable. Etant illégal, ce séjour ne saurait toutefois revêtir la même importance qu'un séjour accompli au bénéfice d'une autorisation de séjour, sauf à ne pas tenir compte de la violation par le recourant de la règlementation en vigueur. L'activité lucrative exercée par l'intéressé l'a également été illégalement - voire au bénéfice d'une tolérance - durant toute la durée de son séjour et ne doit en conséquence être prise en compte que dans une mesure moindre, faute de quoi l'on mettrait le recourant sur le même pied qu'un travailleur au bénéfice d'une autorisation de séjour. Certes, le recourant n'a semble-t-il jamais eu recours aux prestations de l'aide sociale ni ne s'est endetté. Son comportement n'a pas donné lieu à des condamnations pénales ou à d'autres observations. Cela étant, le recourant, qui a toujours œuvré dans la restauration, n'a pas fait état de compétences professionnelles particulièrement poussées. En outre, à titre d'intégration sociale, il invoque principalement ses liens avec une partie de sa famille – notamment certains de ses neveux – qui se trouvent en Suisse. Les déclarations de soutien produites émanent pour le surplus de ses collègues de travail. Le recourant n'allègue pas être intégré dans la communauté d'une autre manière, par exemple par une participation à la vie associative, culturelle ou sportive. Il n'a pas non plus allégué une maîtrise particulière de la langue française ni produit d'élément à cet égard. Il résulte de ce qui précède que l'intégration professionnelle et sociale du recourant ne revêt pas un caractère exceptionnel, allant bien au-delà d'un acclimatement ordinaire, qui permettrait en tant que tel d'établir l'existence de liens particulièrement intenses avec la Suisse. Le recourant prétend que sa réintégration dans son pays d'origine, qui s'est déjà soldée par un échec, serait fortement compromise. S'appuyant sur les témoignages de proches, il relève que les contacts avec son ex-épouse et leurs deux enfants majeurs sont quasiment inexistants, de sorte qu'il ne pourrait pas compter sur leur soutien. Le recourant a toutefois quitté son pays d'origine lorsqu'il avait 38 ans. Il y a incontestablement conservé des attaches importantes, même en dehors de son cercle familial proche. Encore relativement jeune, sans charge familiale et en bonne santé, le recourant ne devrait ainsi pas rencontrer de difficultés insurmontables pour s'y réintégrer. Il pourra également mettre à profit l'expérience professionnelle acquise en Suisse. Dans ces circonstances, l'intérêt à l'éloignement du recourant l'emporte sur son intérêt à poursuivre son séjour en Suisse.</w:t>
      </w:r>
    </w:p>
    <w:p>
      <w:r>
        <w:rPr>
          <w:b/>
        </w:rPr>
        <w:t>E. 3</w:t>
      </w:r>
    </w:p>
    <w:p>
      <w:r>
        <w:t>Il suit de ce qui précède que le recours doit ainsi être rejeté et la décision attaquée confirmée. Un émolument est mis à la charge du recourant, qui succombe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