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PE.2018.0225 vom 5. Juni 2019</w:t>
      </w:r>
    </w:p>
    <w:p>
      <w:r>
        <w:t>VD Tribunal cantonal, 2019-06-05, FR</w:t>
      </w:r>
    </w:p>
    <w:p>
      <w:r>
        <w:rPr>
          <w:b/>
        </w:rPr>
        <w:t xml:space="preserve">Quelle: </w:t>
      </w:r>
      <w:r>
        <w:t>https://mcp.opencaselaw.ch/entscheid/vd_omni_PE.2018.0225</w:t>
      </w:r>
    </w:p>
    <w:p>
      <w:r>
        <w:t>FR: VD_OMNI PE.2018.0225 du 5 juin 2019</w:t>
      </w:r>
    </w:p>
    <w:p>
      <w:r>
        <w:t>IT: VD_OMNI PE.2018.0225 del 5 giugno 2019</w:t>
      </w:r>
    </w:p>
    <w:p>
      <w:pPr>
        <w:pStyle w:val="Heading2"/>
      </w:pPr>
      <w:r>
        <w:t>Regeste</w:t>
      </w:r>
    </w:p>
    <w:p>
      <w:r>
        <w:t>A.________/Service de la population (SPOP) | Ressortissant d'un Etat tiers ayant divorcé d'une ressortissante communautaire avec laquelle il a vécu moins d'un an, avant d'épouser pendant la procédure de recours une Suissesse, dont il a une fille, sur laquelle il co-détient l'autorité parentale. Bien que le recourant et son épouse aient contracté une dette de plus de 100'000 fr. à l'égard de l'assistance publique, le refus de l'autorité de lui délivrer une autorisation de séjour au titre du regroupement familial apparaît comme étant contraire au principe de la proportionnalité. Le recourant n'a jamais été condamné et dans une situation de ce genre, l’on conçoit fort mal qu’un intérêt public digne de protection puisse prévaloir et s’imposer devant l’intérêt privé du recourant et celui de sa fille, au vu de l’absence d’atteinte à l'ordre public et en présence d'un lien affectif entre ces derniers. Annulation de la décision attaquée et renvoi au SPOP pour délivrance de l'autorisation requise. Le recourant est cependant rendu attentif au fait qu'il lui appartient de tout mettre en œuvre pour gagner son autonomie financière; à défaut, il s’exposera au risque de voir son autorisation de séjour ne pas être prolongée, à son échéance.</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Dans la décision attaquée, l’autorité intimée s’est fondée sur la séparation du recourant d’avec sa première épouse, B.________, ressortissante communautaire, et le fait qu’ils n’avaient pas fait ménage commun durant plus d’une année, pour refuser la prolongation de son autorisation de séjour, ceci en application des art. 3 de l'Accord entre la Confédération suisse, d'une part, et la Communauté européenne et ses Etats membres, d'autre part, sur la libre circulation des personnes, conclu le 21 juin 1999 (ALCP; RS 0.142.112.681),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et 50 al. 1 let. a et 2 de la loi fédérale du 16 décembre 2005 sur les étrangers ([LEtr]; depuis le 1 er janvier 2019: loi fédérale sur les étrangers et l'intégration [LEI; RS 142.20]). L’autorité intimée a estimé en outre que le recourant ne constituait pas un cas de rigueur et ne remplissait dès lors pas les conditions permettant de déroger aux conditions d’admission en Suisse afin qu’une autorisation de séjour lui soit délivrée au sens de l’art. 30 al. 1 let. b LEI. Elle a fait valoir par ailleurs que, dès l’instant où le recourant et sa concubine (et future épouse) C.________ avaient recours à l’assistance publique pour leur entretien, l’art. 62 al. 1 let. d LEI (recte: art. 62 al. 1 let. e LEI), dont il ressort qu’une autorisation de séjour peut être révoquée lorsque l'étranger lui-même ou une personne dont il a la charge dépend de l'aide sociale, faisait obstacle à ce qu’une telle autorisation lui soit délivrée. b) Postérieurement au recours qu’il a interjeté contre cette décision, le recourant a contracté mariage avec C.________, elle-même suissesse et cette dernière a donné naissance à leur enfant, de nationalité suisse. Dès lors, le recourant se trouve de nouveau dans une situation de regroupement familial, mais cette fois-ci au sens où l’entend l’art. 42 al. 1 LEI. A cela s’ajoute que le recourant, qui vit avec sa fille, de nationalité suisse, peut en théorie invoquer les dispositions protégeant sa vie familiale, soit notamment l’art. 8 par. 1 de la convention du 4 novembre 1950 de sauvegarde des droits de l'homme et des libertés fondamentales (CEDH; RS 0.101). Ceci nonobstant, l’autorité intimée a refusé de rapporter sa décision, qu’elle a maintenue, au motif que les art. 51 al. 1 let. b et 63 al. 1 let. c LEI, ainsi que 8 par. 2 CEDH, devraient de toute façon s’opposer, selon elle, à la délivrance d’une autorisation de séjour en faveur du recourant. c) Il importe dès lors de vérifier si, compte tenu de ces derniers événements, c’est à bon droit que l’autorisation de séjour du recourant n’a pas été prolongée, ceci à la lumière de la CEDH, ainsi que des dispositions de la LEI et de ses ordonnances d’application, telles qu’elles étaient en vigueur jusqu’au 31 décembre 2018 (cf. art. 126 al. 1 LEI, applicable par analogie).</w:t>
      </w:r>
    </w:p>
    <w:p>
      <w:r>
        <w:rPr>
          <w:b/>
        </w:rPr>
        <w:t>E. 3</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Le recourant peut se prévaloir à cet égard de cette disposition, sa nouvelle épouse, avec laquelle il fait ménage commun, étant de nationalité suisse. En outre, la nationalité suisse de son épouse habilite également le recourant à invoquer l'art. 8 par. 1 CEDH pour obtenir une autorisation de séjour (ATF 135 I 143 consid. 1.3.2 p. 146; 129 II 193 consid. 5.3.1 p. 211), comme on l’a vu ci-dessus. L'art. 51 al. 1 LEI précise cependant que les droits prévus par l'art. 42 LEI s'éteignent lorsqu'ils sont invoqués abusivement (let. a) ou s'il existe des motifs de révocation au sens de l'art. 63 LEI (let. b). A teneur de cette dernière disposition (telle qu’elle se présentait au jour où l’autorité intimée a statué [cf. art. 126 al. 1 LEI]), applicable aux autorisations de séjour délivrées au titre du regroupement familial avec un ressortissant suisse, l’autorisation d’établissement ne peut être révoquée que dans les cas suivants: "(…)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e.  l’étranger fait l’objet d’une expulsion relevant du droit pénal." b) L’autorité intimée a constaté en l’espèce que le recourant et son épouse dépendaient de l’assistance publique pour leur entretien, de sorte que l’art. 63 al. 1 let. c LEI s’opposait de toute façon à ce que le recourant se voie délivrer une autorisation de séjour au titre du regroupement familial.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arrêts du Tribunal fédéral 2C_831/2017 du 4 avril 2018 consid. 4.1; 2C_173/2017 du 19 juin 2017 consid. 4.1; 2C_1122/2015 du 12 janvier 2016 consid. 4.1; 2C_47/2014 du 5 mars 2014 consid. 2.1). La question de savoir si et dans quelle mesure la personne dépend de l'aide sociale par sa faute ne concerne pas le motif de révocation envisagé à l' art. 63 al. 1 let. c LEI , mais est un critère entrant en considération au stade de l'examen de la proportionnalité de la mesure (cf. arrêts 2C_837/2017 du 15 juin 2018 consid. 6.2; 2C_831/2017 du 4 avril 2018 consid. 4.2; 2C_120/2015 du 2 février 2016 consid. 3.1; 2C_1058/2013 du 11 septembre 2014 consid. 2.4; 2C_958/2011 du 18 février 2013 consid. 2.3). En l’occurrence, le recourant vivait déjà des prestations de l’assistance publique depuis plusieurs années lorsqu’il s’est mis en ménage avec sa future épouse, en janvier 2018. On relève en effet qu’entre le 1 er mars 2016, soit peu de temps après sa séparation d’avec sa première épouse, et le 31 décembre 2017, il avait déjà contracté une dette de 57'649 fr.85. Cette dette a augmenté depuis lors puisqu’au 30 avril 2019, le recourant et son épouse avaient bénéficié de prestations d’assistance pour un montant total de 107'161 francs. L'ampleur de cette dette permet dès lors de conclure que le recourant dépend dans une large mesure de l'aide sociale (cf. parmi d'autres: arrêts 2C_1058/2013 du 11 septembre 2014 consid. 2.4; 2C_958/2011 du 18 février 2013 consid. 2.3; 2C_268/2011 du 22 juillet 2011 consid. 6.2.3 et 6.2.4 et références). A titre de comparaison, le Tribunal fédéral a notamment admis que cette condition était réalisée dans le cas d'un couple assisté à hauteur de 80'000 fr. sur une période de cinq ans et demi (ATF 119 Ib 1 consid. 3a p. 6). Quant à l’évolution probable de la situation financière du recourant, il importe de se montrer prudent. Sans doute, le recourant fait valoir que la précarité de son statut administratif serait la cause des difficultés auxquelles il dit être confronté dans ses recherches d’emploi. On ne voit cependant pas, en l’état, quelles sont les perspectives concrètes que le recourant puisse à court ou moyen terme mettre à profit pour s’insérer dans le marché du travail et subvenir à son entretien et celui des siens. Les seules fiches de salaire dont il s’est prévalu montrent que, pour les mois d’avril et mai 2019, le recourant a perçu en tout et pour tout un salaire net de 718 fr.59, respectivement 627 fr.02, suite à une mission intérimaire qui lui a été confiée. Or, de tels montants sont largement insuffisants pour que le recourant recouvre son autonomie et ne dépende plus à l’avenir des services sociaux. c) Avant de confirmer la décision attaquée, par substitution de motifs en l’occurrence, encore faut-il s'assurer que dans une situation de ce genre, le refus de délivrer une autorisation de séjour au recourant respecte le principe de proportionnalité (cf. art. 96 LEI; cf. en outre ATF 139 I 16 consid. 2.2.1 p. 19; 135 II 377 consid. 4.2 p. 380). On rappelle qu’aux termes de l’al. 1 er de cette dernière disposition, les autorités compétentes tiennent compte, en exerçant leur  pouvoir d’appréciation, des intérêts publics, de la situation personnelle de l’étranger, ainsi  que de son degré d’intégration. 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(arrêts 2C_831/2017 du 4 avril 2018 consid. 5.2; 2C_547/2017 du 12 décembre 2017 consid. 4.1; 2C_834/2016 du 31 juillet 2017 consid. 2.2). Cette question se confond en quelque sorte avec l’examen des droits que le recourant peut retirer de l’art. 8 CEDH, dont le paragraphe 1 dispose que toute personne a droit au respect de sa vie privée et familiale, de son domicile et de sa correspondance. Il importe de rappeler sur ce point que l'examen de la proportionnalité sous l'angle des articles 5 al. 2 Cst. et 96 LEI se confond avec celui imposé par l'art. 8 par. 2 CEDH (arrêts 2C_1153/2014 du 11 mai 2015 consid. 5.3; 2C_419/2014 du 13 janvier 2015 consid. 4.3). Aux termes de cette dernière disposition,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w:t>
      </w:r>
    </w:p>
    <w:p>
      <w:r>
        <w:t>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135 I 143 consid. 1.3.1 p. 145). b)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p. 147; 127 II 60 consid. 2a p. 67; 122 II 289 consid. 3c p. 298 et la jurisprudence citée). L'exigibilité du renvoi d'un enfant mineur peut, dans certains cas, suffire à refuser une autorisation de séjour au parent qui en a la garde (arrêt 2C_495/2013 du 28 octobre 2013, consid. 2.4). Le Tribunal fédéral a toutefois ultérieurement relativisé cette jurisprudence, en soulignant la nécessité de tenir davantage compte des droits découlant de la nationalité suisse de l'enfant (en particulier des art. 11 , 24  et 25 al. 1 Cst.) et des art. 3 al. 1, 10 al. 1 et 16 al. 1 de la Convention du 20 novembre 1989 relative aux droits de l'enfant (CDE; RS 0.107), tout en rappelant que l'on ne pouvait déduire de ces dispositions une prétention directe à l'obtention d'une autorisation de séjour (cf. ATF 144 I 91 consid. 5.2 p. 97 s.; 140 I 145 consid. 3.2 p. 148; 137 I 247 consid. 4.2.1 p. 250; 136 I 285 consid. 5.2 p. 287; 135 I 153 consid. 2.2.2 p. 157; 143 consid. 2.3 p. 148).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Selon la jurisprudence du Tribunal fédéral,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140 I 145 consid. 3.1 p. 147; 135 I 153 consid. 2.1 p. 154 s.).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p. 250 et 4.2.2 p. 251; 135 I 153 consid. 2.2.4 p. 158). 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p. 254 et 5.2.2 p. 255; 136 I 285 consid. 5.2 p. 287 et 5.3 p. 288). Selon la jurisprudence Reneja (ATF 110 Ib 201) - qui demeure valable sous l'empire de la LEI (ATF 139 I 145 consid. 2.3 p. 148 s.;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 2C_786/2016 du 5 avril 2017 consid. 3.2.1). b) En l’occurrence, le recourant fait ménage commun avec sa nouvelle épouse et leur fille, sur laquelle il détient également, mais non exclusivement, l’autorité parentale. On relève que la conjointe du recourant a épousé ce dernier, alors qu'il était déjà sous le coup d'une décision de renvoi. A ce titre, elle devait, de même que le recourant, s'attendre à ce que leur vie commune doive peut-être se dérouler ailleurs qu'en Suisse. Quant à leur fille, elle peut demeurer en Suisse, auprès de sa mère. Il importe cependant d’examiner si le refus d'octroyer un droit de séjour au recourant entre en conflit avec les droits que cet enfant peut tirer de sa nationalité suisse. A cet égard, cette situation pourrait conduire à la séparation physique de la famille. Or, la fille du recourant va progressivement créer avec son père des liens affectifs, de sorte qu’une séparation d’avec ce dernier, rendue inévitable par le refus de délivrer à ce dernier un titre de séjour et le prononcé de son renvoi, pourrait par conséquent laisser des traces chez cet enfant. En outre, la distance entre la Suisse et la Tunisie, pays d’origine du recourant, risque de rendre plus complexe la poursuite des liens que le recourant entretient avec sa fille et réciproquement. Ainsi, il appert, au vu de ces éléments, que la naissance de la fille du recourant est un élément qui fait désormais apparaître que l'intéressé aurait droit à une autorisation de séjour. Il convient dès lors de procéder à la pesée des intérêts prévue par l'art. 8 par. 2 CEDH en pareille circonstance. Pour l’autorité intimée, il existerait cependant un intérêt public digne de protection à empêcher que le recourant ne séjourne en Suisse aux côtés de son épouse et de sa fille. A l’exception d’un vol à l’étalage commis au mois de juillet 2011, il n’apparaît toutefois pas que le recourant ait été inquiété par la justice pénale; du reste, aucune condamnation ne figure dans son dossier. Pour l’autorité intimée, il ne s’agit donc pas ici de préserver l'ordre public, mais bien davantage «le bien-être économique» du pays, au sens où l’entend l’art. 8 par. 2 CEDH. En effet, comme on l’a vu ci-dessus, le recourant, qui n’a entrepris que très récemment l’exercice d’une activité lucrative – dont on a vu cependant qu’elle ne suffisait pas à couvrir les besoins de sa famille – a contracté une dette importante à l’égard de l’assistance publique, qui pourrait encore s’accroître. Sans doute, il a été jugé en pareil cas qu’au vu du caractère très récent du mariage et l'absence d'enfant commun, l'intérêt public à éviter que des prestations sociales encore plus importantes soient versées par la collectivité l'emporte sur l'intérêt privé de l’étranger à demeurer en Suisse auprès de son conjoint de nationalité suisse (arrêt PE.2016.0207 du 27 janvier 2017, confirmé par arrêt 2C_173/2017 du 19 juin 2017). La situation du cas d’espèce doit cependant être distinguée, en ce que le recourant est fondé à invoquer l’art. 8 par. 1 CEDH, dans la mesure où il vit aux côtés, non seulement de son épouse mais également – et surtout – de leur enfant commun, tous deux étant de nationalité suisse. Or, dans une situation de ce genre, l’on conçoit fort mal, au vu de la jurisprudence ci-dessus rappelée, qu’un intérêt public digne de protection puisse prévaloir et s’imposer devant l’intérêt privé du recourant et à celui de sa fille, au vu de l’absence d’atteinte à l'ordre public et en présence d'un lien affectif entre ces derniers. c) Le refus de délivrer au recourant une autorisation de séjour au titre du regroupement familial apparaît, dans ces conditions, comme étant contraire au principe de proportionnalité. Il appartient, ceci étant, au recourant de tout mettre en œuvre pour gagner son autonomie financière; à défaut, il s’exposera au risque de voir son autorisation de séjour ne pas être prolongée, à son échéance.</w:t>
      </w:r>
    </w:p>
    <w:p>
      <w:r>
        <w:rPr>
          <w:b/>
        </w:rPr>
        <w:t>E. 5</w:t>
      </w:r>
    </w:p>
    <w:p>
      <w:r>
        <w:t>a) Il suit de ce qui précède que le recours sera admis. La décision attaquée sera annulée et la cause, renvoyée à l’autorité intimée afin qu’elle délivre une autorisation de séjour en faveur du recourant, au titre du regroupement familial. b) Vu l’issue du recours, le présent arrêt sera rendu sans frais (art. 49 al. 1, 52 al. 1, 91 et 99 LPA-VD). c) Compte tenu de ses ressources, le recourant a été mis au bénéfice de l'assistance judiciaire par décision du 24 juillet 2018, rectifiée le 30 juillet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Laurent Mösching peut être arrêtée à 2'961 fr.75, soit 2’619 fr. d'honoraires (14h33 x 180 fr.), 131 fr. de débours (5%) et 211 fr.75 de TVA ([2’619 fr. + 131 fr.] x 7,7%).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des dépens réduits seront alloués au recourant (art. 55 al. 1, 91 et 99 LPA-VD). Celui-ci obtient sans doute gain de cause, mais dans leur fixation, il sera tenu compte du fait que l’admission du recours est intervenue en raison de circonstances nouvelles, postérieures à la décision attaquée. Le montant des dépens alloués devra être porté en déduction de l’indemnité due au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