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PE.2018.0193 vom 16. November 2018</w:t>
      </w:r>
    </w:p>
    <w:p>
      <w:r>
        <w:t>VD Tribunal cantonal, 2018-11-16, FR</w:t>
      </w:r>
    </w:p>
    <w:p>
      <w:r>
        <w:rPr>
          <w:b/>
        </w:rPr>
        <w:t xml:space="preserve">Quelle: </w:t>
      </w:r>
      <w:r>
        <w:t>https://mcp.opencaselaw.ch/entscheid/vd_omni_PE.2018.0193</w:t>
      </w:r>
    </w:p>
    <w:p>
      <w:r>
        <w:t>FR: VD_OMNI PE.2018.0193 du 16 novembre 2018</w:t>
      </w:r>
    </w:p>
    <w:p>
      <w:r>
        <w:t>IT: VD_OMNI PE.2018.0193 del 16 novembre 2018</w:t>
      </w:r>
    </w:p>
    <w:p>
      <w:pPr>
        <w:pStyle w:val="Heading2"/>
      </w:pPr>
      <w:r>
        <w:t>Regeste</w:t>
      </w:r>
    </w:p>
    <w:p>
      <w:r>
        <w:t>A.________, B._________, C.________/Service de l'emploi Contrôle du marché du travail, Service de la population (SPOP) | Confirmation du refus de délivrer des autorisations de séjour et de travail à deux ressortissants croates pour des postes de serveuse et d'aide de cuisine dans un établissement public. Le statut des croates est régi par l'ALCP, sous réserve des dispositions transitoires qui concernent l'accès au marché du travail et comportent des restrictions comprenant la priorité des travailleurs indigènes. In casu, l'employeur a attendu d'être dénoncé pour effectuer des recherches de candidats; il ne démontre pas avoir entrepris, en temps opportun et de manière appropriée, tous les efforts nécessaires afin que les deux postes mis au concours dans son établissement puissent être attribués à des candidats issus du marché local du travail. En outre, les deux candidats travaillent sans autorisation et de façon illégale pour cet employeur depuis plusieurs années et celui-ci se félicite de la qualité de leur travail; leur engagement répond à des motifs de convenance personnelle.</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Les recourants demandent que la présente procédure soit suspendue jusqu’à droit connu sur la demande de régularisation présentée par B.________ et C.________ au SPOP, autorité concernée. a) Aux termes de l’art. 25 LPA-VD, l'autorité peut, d'office ou sur requête, suspendre la procédure pour de justes motifs, notamment lorsque la décision à prendre dépend de l'issue d'une autre procédure ou pourrait s'en trouver influencée d'une manière déterminante. Les recourants requièrent la suspension de la présente procédure jusqu’à droit connu sur la demande de régularisation dont B.________ et C.________ ont a saisi le SPOP le 15 février 2018 pour cas de rigueur, soit avant que le SDE ne soit à son tour saisi d’une demande d’autorisation de séjour en faveur des deux intéressés avec activité lucrative. b) La LEtr définit, à son chapitre 5, les conditions d’admission des étrangers en Suisse. Elle distingue l’admission en vue de l’exercice d’une activité lucrative (art. 18-26 LEtr), de l’admission sans activité lucrative (art. 27-29a LEtr). L’art. 30 LEtr prévoit plusieurs situations dans lesquelles il est possible de déroger aux conditions d’admission, notamment lorsqu’il s’agit de tenir compte des cas individuels d'une extrême gravité ou d'intérêts publics majeurs (let. b). Aux termes de l’art. 33 LEtr,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Quant à la compétence en la matière, l’art. 40 al. 1 LEtr prescrit que les autorisations prévues aux art. 32 à 35 et 37 à 39 sont octroyées par les cantons. Les compétences de la Confédération sont réservées en matière de mesures de limitation (art. 20), de dérogations aux conditions d'admission (art. 30) et de procédure d'approbation (art. 99). L’art. 3 de la loi cantonale du 18 décembre 2007 d'application dans le Canton de Vaud de la législation fédérale sur les étrangers (LVLEtr; RSV 142.11) confère cette compétence au service cantonal compétent en matière de police des étrangers et d’asile, soit actuellement le SPOP. A teneur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Quant au service chargé, en vertu du droit cantonal, d'octroyer les autorisations de travail, il s’agit actuellement du SDE, autorité intimée en l'occurrence (cf. art. 64 al. 1 let. a LEmp). c) La procédure dans le cas d’espèce a trait à la demande d'autorisation de séjour en vue de l'exercice d'une activité lucrative formée par A.________ en faveur de B.________ et C.________. Or, peu de temps auparavant, ces deux derniers ont entrepris de régulariser leur situation administrative en Suisse et ont requis l’octroi d’une autorisation de séjour pour cas de rigueur. Ainsi que le juge instructeur l’a indiqué aux parties dans son avis du 12 octobre 2018, le sort de la première demande ne dépend pas, à proprement parler, de l'issue de la procédure de demande d'autorisation de séjour  pour cas de rigueur, engagée en parallèle devant l'autorité concernée. Il est sans doute vrai que l'issue favorable pour B.________ et C.________ de cette seconde procédure priverait vraisemblablement de son objet la présente procédure. Il n’en demeure pas moins, comme l'autorité concernée le relève dans sa détermination du 8 octobre 2018, qu’au vu de la systématique de la loi, l'octroi d'une autorisation de séjour pour cas de rigueur en vertu de l'art. 30 al. 1 let. b LEtr suppose de déroger aux conditions d'admission; elle n'entre ainsi en ligne de compte que de manière subsidiaire par rapport aux autres catégories d'autorisations, dont celle octroyée en vue de l'exercice d'une activité lucrative, litigieuse en l'espèce. Aucun motif ne commande par conséquent de suspendre la présente procédure en attendant l'issue de celle tendant à l'octroi d'une autorisation pour cas de rigueur.</w:t>
      </w:r>
    </w:p>
    <w:p>
      <w:r>
        <w:rPr>
          <w:b/>
        </w:rPr>
        <w:t>E. 3</w:t>
      </w:r>
    </w:p>
    <w:p>
      <w:r>
        <w:t>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donner suite à ces deux réquisitions d’instruction. L’autorité intimée et l’autorité concernée ont produit leurs dossiers procéduraux. Or, ces dossiers sont complets et les recourants ont pu s’exprimer durant la procédure et notamment se déterminer sur les prises de position de ces deux autorités.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d’ordonner la production des dossiers des candidats aux deux postes.</w:t>
      </w:r>
    </w:p>
    <w:p>
      <w:r>
        <w:rPr>
          <w:b/>
        </w:rPr>
        <w:t>E. 4</w:t>
      </w:r>
    </w:p>
    <w:p>
      <w:r>
        <w:t>Le litige porte uniquement sur la question de savoir si c'est à bon droit que l'autorité intimée a refusé d'accorder une autorisation de séjour avec activité lucrative en faveur de B.________ et C.________, ressortissants de Croatie. a) Le 1 er juillet 2013, la République de Croatie a été le 28 ème pays à adhérer à l'Union européenne (UE). Le 1 er janvier 2017, le Protocole du 4 mars 2016 à l'Accord du 21 juin 1999 entre la Confédération suisse, d'une part, et la Communauté européenne et ses Etats-membres, d'autre part, sur la libre circulation des personnes (ALCP, RS 0.142.112.681), concernant la participation, en tant que partie contractante, de la République de Croatie, à la suite de son adhésion à l’UE (RO 2016 5251 ss), est entré en vigueur. Aux termes de ce texte, la Suisse est habilitée à maintenir, jusqu’à la fin de la deuxième année à compter de l’entrée en vigueur du protocole et au plus tard jusqu’à la fin de la cinquième année, soit jusqu’au 31 décembre 2023, des limites quantitatives à l’accès des travailleurs salariés occupant un emploi en Suisse et des indépendants, qui sont ressortissants  de  la  Croatie,  pour  les  deux  catégories  de  séjour suivantes:  pour  une durée supérieure à quatre mois et inférieure à une année et pour une durée égale ou supérieure à une année. Depuis lors, le statut juridique des citoyens de ce pays est régi par l'ALCP sous réserve des dispositions transitoires définies dans le protocole III à l'ALCP en ce qui concerne l'accès au marché du travail. Durant cette période transitoire, il y a lieu d’appliquer, lors de l’admission en vue de l’exercice d’une activité lucrative, les nombres maximums spécifiques ainsi que les prescriptions du marché du travail. Ces restrictions comprennent la priorité des travailleurs indigènes, le contrôle des conditions de rémunération et de travail ainsi que les contingents annuels progressifs d’autorisations de courte durée ou de séjour (cf. Secrétariat d’Etat aux migrations [SEM], Directives et commentaires concernant l'introduction progressive de la libre circulation des personnes [Directives OLCP], état au 1 er juillet 2018, ch. 1.2.4 et 5.2.1). b)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précise, à son art. 27, qu’avant que les autorités cantonales compétentes n'accordent à un ressortissant de la Croatie une autorisation en vue de l'exercice d'une activité lucrative salariée, l'autorité cantonale du marché du travail rend une décision précisant que les conditions relatives au marché du travail sont remplies. La procédure est régie par le droit cantonal. Sont vérifiés lors de cette décision le respect des conditions de rémunération et de travail et la priorité des travailleurs indigènes (Directives OLCP, ch. 5.5). Aux termes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(al. 1). Sont considérés comme travailleurs en Suisse (al. 2): les Suisses (let. a); les titulaires d'une autorisation d'établissement (let. b); les titulaires d'une autorisation de séjour qui ont le droit d'exercer une activité lucrative (let. c); les étrangers admis à titre provisoire (let. d); les personnes auxquelles une protection provisoire a été octroyée et qui sont titulaires d'une autorisation d'exercer une activité lucrative (let. e).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(al. 3). L’art. 22 LEtr précise qu’un étranger ne peut être admis en vue de l'exercice d'une activité lucrative qu'aux conditions de rémunération et de travail usuelles du lieu, de la profession et de la branche.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(Directives OLCP, ch. 5.5). Concernant les efforts de recherche de l’employeur dans le cadre de l’art. 21 LEtr, les directives intitulées "I. Domaine des étrangers " du SEM prévoient en particulier ce qui suit (octobre 2013, version actualisée au 1 er juillet 2018):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Elles sont complétées par l’art. 21a LEtr, qui comprend une série de mesures concernant les demandeurs d'emploi, parmi lesquelles l’obligation de communiquer les postes vacants concernant les professions, les domaines d’activité ou les régions économiques qui enregistrent un taux de chômage, au niveau suisse, supérieur ou égal à 5 % (al. 3). Cette disposition, introduite par le ch. I de la loi fédérale du 16 décembre 2016 (Gestion de l'immigration et amélioration de la mise en oeuvre des accords sur la libre circulation des personnes), est en vigueur depuis le 1 er juillet 2018. Postérieure à la décision attaquée in casu, elle n’est donc pas applicable dans le cadre de la présente procédure.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(cf. arrêt 2D_50/2012 du 1 er avril 2013 consid.4.3; ATAF F-3286/2017 du 18 décembre 2017 consid. 6.3; CDAP,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2C_217/2009 du 11 septembre 2009 consid. 3.2; ATAF F-3286/2017 du 18 décembre 2017 consid. 6.3;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w:t>
      </w:r>
    </w:p>
    <w:p>
      <w:r>
        <w:rPr>
          <w:b/>
        </w:rPr>
        <w:t>E. 5</w:t>
      </w:r>
    </w:p>
    <w:p>
      <w:r>
        <w:t>En la présente espèce, il s’avère que deux objections dirimantes doivent être opposées à l’accueil des demandes d’autorisation de séjour en vue d’exercer une activité lucrative. a) En premier lieu, A.________ ne démontre pas avoir entrepris, en temps opportun et de manière appropriée, tous les efforts nécessaires afin que les deux postes mis au concours dans son établissement puissent être attribués à des candidats issus du marché local du travail. Certes, A.________ a annoncé à l’ORP un poste vacant de serveur dans son établissement, ainsi qu’un poste d’aide de cuisine; cette annonce remonte cependant au 12 avril 2017. En outre, A.________ a fait paraître dans la presse locale des annonces pour des postes de serveurs/euses, ceci entre le 1 er mai 2014 et le 11 juillet 2017. Ainsi, ce sont plus de sept mois qui séparent la dernière recherche de personnel de la demande de permis dont l’autorité intimée a été saisie le 28 février 2018 en faveur de B.________ et C.________. Or, il a été rappelé ci-dessus que ces recherches doivent avoir été entreprises pendant la période précédant immédiatement le dépôt de la demande de main-d’œuvre étrangère, et non plusieurs mois auparavant comme ce fut le cas en l’occurrence. En outre, comme le fait observer l’autorité intimée, plus de 300 candidats répondant aux profils des deux postes étaient suivis par les ORP au moment où les décisions dont est recours ont été rendues. Il importe peu, dans ces conditions, que seuls douze d’entre eux se soient vus assigner les postes en questions (entre le 12 avril 2017, date de l'annonce à l'ORP, et le 26 mai 2017, selon la décision attaquée). A cet égard, A.________ ne saurait d'ailleurs s’exonérer de ses efforts de recrutement sur le marché du travail indigène en invoquant de prétendus manquements de l’ORP, du fait que seulement douze des 300 candidats éventuels se sont vus assigner les deux emplois correspondant aux deux postes annoncés. Du reste, A.________ ne peut décemment soutenir qu’elle n’avait trouvé aucun candidat susceptible de répondre à ses attentes avant de saisir l’autorité intimée d’une demande de main d’œuvre étrangère. On observe en outre sur ce point que l’annonce des postes à l’ORP fait suite au contrôle opéré par les inspecteurs du SDE, le 28 janvier 2017, au terme duquel il est apparu que B.________ et C.________ travaillaient pour A.________ depuis plusieurs années. b) En second lieu, l’engagement de ces derniers par A.________ paraît répondre avant tout à un motif de convenance personnelle de l’employeur. On constate à cet égard que c’est seulement après que ses associés-gérants ont été dénoncés du chef de ce qui précède et qu’elle-même a été sommée en ce sens que A.________ a entrepris de respecter ses obligations en matière d’engagement de main d’œuvre étrangère. Or, on observe que B.________ et C.________ travaillent depuis plusieurs années dans cet établissement, alors qu’ils n’y sont pas autorisés. Dans ses écritures, A.________ se félicite du reste de la qualité de leur travail et admet elle-même que les intéressés sont très proches des époux E.________. Cela pourrait expliquer finalement qu’en dépit des recherches entreprises, aucun des douze candidats s’étant vus assigner les postes par l’ORP n’ait finalement été engagé. c) Les décisions négatives de l’autorité intimée échappent en conséquence à toute critique et seront dès lors confirmées. Cela rend sans objet la demande de mesures provisionnelles présentée par les recourants, en parallèle à leurs recours.</w:t>
      </w:r>
    </w:p>
    <w:p>
      <w:r>
        <w:rPr>
          <w:b/>
        </w:rPr>
        <w:t>E. 6</w:t>
      </w:r>
    </w:p>
    <w:p>
      <w:r>
        <w:t>Les considérants qui précèdent conduisent au rejet des recours et à la confirmation des décisions attaquées. Le sort du recours commande que les recourants en supportent les frais (art. 49 al. 1, 91 et 99 LPA-VD) et que des dépens ne soient pas alloués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