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PE.2018.0191 vom 4. Juni 2018</w:t>
      </w:r>
    </w:p>
    <w:p>
      <w:r>
        <w:t>VD Tribunal cantonal, 2018-06-04, FR</w:t>
      </w:r>
    </w:p>
    <w:p>
      <w:r>
        <w:rPr>
          <w:b/>
        </w:rPr>
        <w:t xml:space="preserve">Quelle: </w:t>
      </w:r>
      <w:r>
        <w:t>https://mcp.opencaselaw.ch/entscheid/vd_omni_PE.2018.0191</w:t>
      </w:r>
    </w:p>
    <w:p>
      <w:r>
        <w:t>FR: VD_OMNI PE.2018.0191 du 4 juin 2018</w:t>
      </w:r>
    </w:p>
    <w:p>
      <w:r>
        <w:t>IT: VD_OMNI PE.2018.0191 del 4 giugno 2018</w:t>
      </w:r>
    </w:p>
    <w:p>
      <w:pPr>
        <w:pStyle w:val="Heading2"/>
      </w:pPr>
      <w:r>
        <w:t>Regeste</w:t>
      </w:r>
    </w:p>
    <w:p>
      <w:r>
        <w:t>A.________/Service de la population (SPOP) | Recours contre une assignation à résidence dans un lieu d'hébergement collectif. Le recourant allègue, en se fondant sur un rapport médical, qu'il est très fragilisé mentalement et physiquement et qu'il a besoin d'un logement privé où se ressourcer. Le recourant est en séjour illégal en Suisse depuis 2013. La décision de renvoi est entrée en force et il n'y a aucun élément qui laisserait supposer que le renvoi ne puisse pas être exécuté. Si le recourant se présente à l'aéroport, comme cela lui est demandé, il n'aura ainsi que quelques jours à passer dans le lieu de résidence qui lui a été assigné. De plus, l'assignation à résidence litigieuse n'est prévue que la nuit. Elle n'empêche ainsi pas le recourant de quitter cet endroit dans lequel il indique ne pas se sentir bien et, cas échéant, de bénéficier du soutien médical dont il a besoin. L'atteinte portée à la situation juridique du recourant est ainsi limitée. Rejet du recours.</w:t>
      </w:r>
    </w:p>
    <w:p>
      <w:pPr>
        <w:pStyle w:val="Heading2"/>
      </w:pPr>
      <w:r>
        <w:t>Erwägungen</w:t>
      </w:r>
    </w:p>
    <w:p>
      <w:r>
        <w:rPr>
          <w:b/>
        </w:rPr>
        <w:t>E. 1</w:t>
      </w:r>
    </w:p>
    <w:p>
      <w:r>
        <w:t>L'autorité cantonale compétente peut enjoindre à un étranger de ne pas quitter le territoire qui lui est assigné ou de ne pas pénétrer dans une région déterminée dans les cas suivants: a.[…] b. l'étranger est frappé d'une décision de renvoi ou d'expulsion entrée en force et des éléments concrets font redouter qu'il ne quittera pas la Suisse dans le délai prescrit ou il n'a pas respecté le délai qui lui était imparti pour quitter le territoire; c.[…]</w:t>
      </w:r>
    </w:p>
    <w:p>
      <w:r>
        <w:rPr>
          <w:b/>
        </w:rPr>
        <w:t>E. 2</w:t>
      </w:r>
    </w:p>
    <w:p>
      <w:r>
        <w:t>La compétence d'ordonner ces mesures incombe au canton qui exécute le renvoi ou l'expulsion. […]</w:t>
      </w:r>
    </w:p>
    <w:p>
      <w:r>
        <w:rPr>
          <w:b/>
        </w:rPr>
        <w:t>E. 3</w:t>
      </w:r>
    </w:p>
    <w:p>
      <w:r>
        <w:t>Le recourant ne s'oppose pas directement à l'assignation à domicile qui a été prononcée, mais aux modalités de celle-ci qui ne lui conviennent pas pour des motifs liés à sa santé. a) Pour être conforme au principe de la proportionnalité énoncé à l'art. 36 al. 3 de la Constitution fédérale de la Confédération suisse du 18 avril 1999 (Cst.; RS 101), une restriction à un droit fondamental, en l'espèce la liberté de mouvement, doit être apte à atteindre le but visé; il faut de plus que ce but ne puisse pas être obtenu par une mesure moins incisive. Il faut en outre qu'il existe un rapport raisonnable entre les effets de la mesure sur la situation de la personne visée et le résultat escompté du point de vue de l'intérêt public (ATF 137 I 167 consid. 3.6.; Tribunal fédéral [TF] 2C_287/2017 du 13 novembre 2017 consid. 2 et 3 [destiné à la publication aux ATF]; 2C_330/2015 du 26 novembre 2015 consid. 3.1). En matière d'assignation à un lieu de résidence, il y a lieu de prendre en compte en particulier la délimitation géographique et la durée de la mesure (TF 2C_1044/2012 du 5 novembre 2012 consid. 3.3). En outre, sur la base d'une requête motivée, l'autorité compétente doit en principe accorder des exceptions, afin de permettre à l'intéressé l'accès aux autorités, à son avocat, au médecin ou à ses proches, pour autant qu'il s'agisse de garantir des besoins essentiels qui ne peuvent être assurés, matériellement et d'un point de vue conforme aux droits fondamentaux, dans le périmètre assigné (cf. TF 2C_287/2017 du 13 novembre 2017 consid. 2.2 [destiné à la publication aux ATF]; 2C_1044/2012 du 5 novembre 2012 consid. 3.3; voir aussi, en matière d'interdiction de pénétrer dans une région déterminée, ATF 142 II 1 consid. 2.3). L'assignation à un lieu de résidence a pour but, d'une part, de pouvoir contrôler le lieu de séjour de l'intéressé et de s'assurer de sa disponibilité éventuelle pour la préparation et l'exécution de son renvoi. D'autre part, elle sert également à exercer une certaine pression sur l'intéressé afin de l'amener à respecter son obligation de quitter le pays; dans cette mesure, elle a ainsi, comme mesure moins incisive que la détention administrative prévue aux art. 75 ss LEtr, également pour but d'infléchir le comportement de l'intéressé, lorsque celui-ci refuse de quitter le pays et/ou à collaborer à l'exécution de la décision de renvoi entrée en force; eu égard au fait que le séjour de l'intéressé est illégal, il y a lieu de le rendre conscient de ce fait et qu'il ne peut pas profiter sans réserve de toutes les libertés accordées à une personne bénéficiant d'un droit de séjour (cf. TF 2C_287/2017 du 13 novembre 2017 consid. 2.1 et 4 [destiné à la publication aux ATF]; 2C_946/2017 du 17 janvier 2018 consid. 7; CDAP PE.2017.0498 du 13 décembre 2017 consid. 2; en matière d'interdiction de pénétrer dans une région déterminée: ATF 142 II 1 consid. 2.2 et 4.5). Pour ordonner une mesure selon l'art. 74 al. 1 let. b LEtr, il n'est pas nécessaire qu'il existe un risque de fuite au sens de l'art. 76 al. 1 let. b ch. 3 LEtr (cf. TF 2C_287/2017 du 13 novembre 2017 consid. 4.5.2 [destiné à la publication aux ATF]; 2C_946/2017 du 17 janvier 2018 consid. 5). b) En l'espèce, le séjour du recourant en Suisse est illégal depuis 2013. La décision de renvoi est entrée en force. De plus, le recourant dépend de l'aide d'urgence. A cette heure, il n'y a aucun élément qui laisserait supposer que le renvoi ne puisse pas être exécuté (cf. par ailleurs TF 2C_497/2017 du 5 mars 2018 consid. 4.2.1; 2C_946/2017 du 17 janvier 2018 consid. 6.1). L'autorité intimée a indiqué en date du 17 mai 2018 qu'un nouveau vol de retour a été fixé dans les prochains jours. Si le recourant se présente à l'aéroport, comme cela lui est demandé, il n'aura ainsi que quelques jours à passer dans le lieu de résidence qui lui a été assigné. De plus, l'assignation à résidence litigieuse n'est prévue que la nuit, de 22 heures à 7 heures du matin. Elle n'empêche ainsi pas le recourant, qui demeure libre de ses mouvements durant la journée, de quitter cet endroit dans lequel il indique ne pas se sentir bien et, cas échéant, de bénéficier notamment du soutien médical dont il a besoin. L'atteinte portée à la situation juridique du recourant est ainsi limitée. On rappellera aussi que l'assignation à un lieu de résidence a entre autres pour but d'exercer une certaine pression sur l'intéressé afin de l'amener à respecter son obligation de quitter le pays. Cet élément prend tout son sens eu égard au comportement de l'intéressé, qui n'a pas quitté la Suisse spontanément depuis 2013 et qui refuse de le faire. Il ne s'est en particulier par présenté pour le vol de retour prévu le 12 juillet 2017 . En conclusion, si les motifs médicaux invoqués par le recourant pourraient vraisemblablement jouer un rôle dans le cadre d'un séjour de longue durée, ils ne sont pas pertinents pour le séjour de brève durée dont il est question en l'espèce. Compte tenu du comportement du recourant, de sa situation personnelle et des conditions d'exécution de la mesure en question, qui viennent d'être rappelées, la décision attaquée n'apparaît pas disproportionnée et doit ainsi être confirmée.</w:t>
      </w:r>
    </w:p>
    <w:p>
      <w:r>
        <w:rPr>
          <w:b/>
        </w:rPr>
        <w:t>E. 4</w:t>
      </w:r>
    </w:p>
    <w:p>
      <w:r>
        <w:t>Les considérants qui précèdent conduisent au rejet du recours et à la confirmation de la décision attaquée. Il est statué sans frais ni dépens (art. 49, 50,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