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PE.2018.0167 vom 17. Dezember 2018</w:t>
      </w:r>
    </w:p>
    <w:p>
      <w:r>
        <w:t>VD Tribunal cantonal, 2018-12-17, FR</w:t>
      </w:r>
    </w:p>
    <w:p>
      <w:r>
        <w:rPr>
          <w:b/>
        </w:rPr>
        <w:t xml:space="preserve">Quelle: </w:t>
      </w:r>
      <w:r>
        <w:t>https://mcp.opencaselaw.ch/entscheid/vd_omni_PE.2018.0167</w:t>
      </w:r>
    </w:p>
    <w:p>
      <w:r>
        <w:t>FR: VD_OMNI PE.2018.0167 du 17 décembre 2018</w:t>
      </w:r>
    </w:p>
    <w:p>
      <w:r>
        <w:t>IT: VD_OMNI PE.2018.0167 del 17 dicembre 2018</w:t>
      </w:r>
    </w:p>
    <w:p>
      <w:pPr>
        <w:pStyle w:val="Heading2"/>
      </w:pPr>
      <w:r>
        <w:t>Regeste</w:t>
      </w:r>
    </w:p>
    <w:p>
      <w:r>
        <w:t>A.________/Service de l'emploi Contrôle du marché du travail, Service de la population (SPOP) | Refus de délivrer une autorisation de travail en faveur d'un ressortissant népalais, engagé comme cuisinier par une école internationale de renom accueillant 420 élèves de 70 nationalités différentes en internat sur deux campus. Particularité de la situation, dans laquelle un établissement scolaire privé dispose d’une infrastructure professionnelle semblable à celle d’un restaurant afin de répondre à la demande d’une clientèle exigeante, désireuse de consommer de la nourriture indienne ou végétarienne. L’école doit être assimilée à un restaurant de spécialités, remplissant les conditions posées pour l’engagement d’un cuisinier spécialisé. Recours admis et décision attaquée réformée en ce sens que l’autorisation de travail sollicitée est délivrée.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la délivrance d’une autorisation de travail en faveur d’un ressortissant népalais engagé comme cuisinier spécialisé par une école internationale. a) Aux termes de l’art. 18 de la loi fédérale du 16 décembre 2005 sur les étrangers (LEtr; RS 142.20),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Seuls les cadres, les spécialistes ou autres travailleurs qualifiés peuvent obtenir une autorisation de courte durée ou de séjour (art. 23 al. 1 LEtr). En dérogation à cette disposition, peuvent être admises les personnes possédant des connaissances ou des capacités professionnelles particulières, si leur admission répond de manière avérée à un besoin (art. 23 al. 3 let. c LEtr). b) Le ch. 4.3.2.1 des directives du Secrétariat d'Etat aux migrations dans le domaine des étrangers, dans leur version du 1 er juillet 2018 (ci-après: directives du SEM) prévoit que l’ordre de priorité fixé à l’art. 21 al. 1 LEtr suppose que l’employeur annonce le plus rapidement possible aux ORP les emplois vacants, qu'il présume ne pouvoir repourvoir qu'en faisant appel à du personnel venant de l'étranger, et qu’il entreprenne de son côté toutes les démarches nécessaires (annonces dans les quotidiens et la presse spécialisée, recours aux médias électroniques et aux agences privées de placement) pour trouver un travailleur disponible. Le ch. 4.7 des directives du SEM contient en outre un résumé des différentes branches, professions et fonctions pour lesquelles des qualifications personnelles spécifiques sont mentionnées, et énonce les critères qu'il convient d'observer particulièrement en matière de qualifications. En ce qui concerne plus particulièrement le domaine des cuisiniers de spécialités (ch. 4.7.9.1), elles prévoient tout d'abord une série d'exigences cumulatives auxquelles doivent satisfaire les établissements souhaitant embaucher de la main-d'œuvre étrangère (ch. 4.7.9.1.1): "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 S 'agissant des qualifications que doit présenter le travailleur étranger dont l’engagement est requis, les directives du SEM indiquent encore (ch. 4.7.9.1.2) qu’il doit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D’après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(arrêt PE.2016.0398 du 20 décembre 2016 consid. 2b et les réf. cit.). Il résulte de ce qui précède que l’autorisation de séjour avec activité lucrative en faveur de cuisiniers spécialisés présuppose en principe que l’établissement soit un restaurant de spécialités, c’est-à-dire un restaurant de haute qualité dont la cuisine, pour l’essentiel exotique, nécessite des compétences particulières qui ne peuvent s’acquérir ni en Suisse ni dans l’Union européenne (cf. ordre de priorité de l’art. 21 LEtr), que le travailleur étranger dispose des compétences particulières et qu’il existe un besoin avéré de l’engager. c)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 rrêt du Tribunal administratif fédéral [TAF] F-4018/2016 du 28 septembre 2017 consid. 3.4; cf. aussi PE.2013.0041 du 27 mai 2013 consid. 2c et les références). C'est à la lumière de ces principes que doivent être appréciées les règles contenues dans les directives précitées du SEM. d) Se référant à ces directives, l’autorité intimée considère que l’établissement du recourant ne peut pas être assimilé à un restaurant de spécialités au sens du chiffre 4.7.9.1.1. Il est vrai que l’on se trouve, en l’espèce, en présence de la cuisine d’une école privée, et non d’un restaurant de spécialités ouvert au public. Cela étant dit, le recourant gère une école privée de renom, qui accueille en internat plus de 400 élèves de 70 nationalités différentes, dont de nombreux ressortissants indiens, et qui se préoccupe dans ce cadre de respecter les habitudes et exigences alimentaires de ses élèves et pensionnaires. Le recourant expose qu'il sert quelques 400 couverts à midi et 300 le soir. La grande majorité des élèves originaires d’Inde consomme de la nourriture végétarienne et cette pratique alimentaire est encouragée chez les autres enfants et adolescents, pour des motifs de santé et des considérations écologiques. Il ressort en outre du document de présentation de l’école que la brigade de cuisine se compose de huit personnes et qu’elle élabore chaque jour des buffets composés de spécialités préparées à la minute, parmi lesquelles des mets indiens végétariens. Il s’agit ainsi d’une situation particulière, dans laquelle un établissement scolaire privé offre un nombre important de repas à ses élèves et dispose à cet effet d'une infrastructure professionnelle semblable à celle d'un restaurant. L’école du recourant s’applique aussi à développer une cuisine végétarienne et ayurvédique de qualité afin de répondre à la demande d’une clientèle internationale exigeante. On peut dans cette mesure admettre qu’elle suit une ligne cohérente et se distingue par la haute qualité de l'offre et des services et propose des mets exotiques dont la préparation et la présentation nécessitent effectivement des connaissances spécialisées. Il n'est pas contesté que l'employé pressenti pour occuper le poste de cuisinier spécialisé dispose des compétences et de l'expérience requise, ayant déjà bénéficié d'autorisations de séjour pour exercer la fonction de cuisinier dans des restaurants de spécialités. Au vu de la nature particulière de l'infrastructure cuisinière en question, on peine à comprendre pour quelle raison une telle infrastructure ne pourrait être assimilée à un restaurant de spécialités au sens des directives précitées du SEM. L'établissement propose des mets exotiques pour une clientèle habituée à des exigences de qualité élevées. Il dispose de largement plus que 40 places et occupe une brigade de cuisine de huit employés. L'autorité intimée ne semble pas contester que les autres conditions des directives du SEM sont également réalisées. Force est dès lors de retenir qu'en refusant d'assimiler un tel établissement à un restaurant de spécialités, elle a excédé son pouvoir d'appréciation. Il convient au contraire de retenir que l'établissement du recourant remplit les conditions posées pour l'engagement d’une personne possédant des connaissances particulières dans le domaine de la restauration, vu le caractère spécialisé de la cuisine qui y est servie, et qu’une exception au sens de l'art. 23 al. 3 let. c LEtr doit être admise. e) Il s’ensuit que c’est à tort que l’autorité intimée a refusé la délivrance de l’autorisation de travail sollicitée.</w:t>
      </w:r>
    </w:p>
    <w:p>
      <w:r>
        <w:rPr>
          <w:b/>
        </w:rPr>
        <w:t>E. 3</w:t>
      </w:r>
    </w:p>
    <w:p>
      <w:r>
        <w:t>Les considérants qui précèdent conduisent à l’admission du recours et à la réforme de la décision attaquée en ce sens que l’autorisation de travail sollicitée est délivrée à B.________. Il n’est pas perçu d’émolument judiciaire (art. 49 al. 1 et 52 al. 1 LPA-VD), ni alloué de dépens dans la mesure où le recourant n’a pas procédé par l’intermédiaire d’un mandataire professionnel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