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PE.2018.0136 vom 22. Mai 2019</w:t>
      </w:r>
    </w:p>
    <w:p>
      <w:r>
        <w:t>VD Tribunal cantonal, 2019-05-22, FR</w:t>
      </w:r>
    </w:p>
    <w:p>
      <w:r>
        <w:rPr>
          <w:b/>
        </w:rPr>
        <w:t xml:space="preserve">Quelle: </w:t>
      </w:r>
      <w:r>
        <w:t>https://mcp.opencaselaw.ch/entscheid/vd_omni_PE.2018.0136</w:t>
      </w:r>
    </w:p>
    <w:p>
      <w:r>
        <w:t>FR: VD_OMNI PE.2018.0136 du 22 mai 2019</w:t>
      </w:r>
    </w:p>
    <w:p>
      <w:r>
        <w:t>IT: VD_OMNI PE.2018.0136 del 22 maggio 2019</w:t>
      </w:r>
    </w:p>
    <w:p>
      <w:pPr>
        <w:pStyle w:val="Heading2"/>
      </w:pPr>
      <w:r>
        <w:t>Regeste</w:t>
      </w:r>
    </w:p>
    <w:p>
      <w:r>
        <w:t>A.________/Service de la population (SPOP) | Confirmation du refus de prolonger une autorisation de séjour pour études d'un ressortissant tunisien qui, après avoir subi un premier échec lors de ses examens d'études, n'a pas produit les résultats de ses derniers examens requis par le Tribunal avec l'avertissement qu'à défaut il devait être admis que l'étudiant avait subi un échec définitif.</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Les qualifications personnelles (art. 27, al. 1, let. d, LEtr) sont suffisantes notamment lorsqu'aucun séjour antérieur, aucune procédure de demande antérieure ni aucun autre élément n'indique que la formation ou la formation continue invoquée visent uniquement à éluder les prescriptions générales sur l'admission et le séjour des étrangers.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Eu égard au sort du litige, les frais judiciaires, arrêtés à 600 fr, sont mis à la charge du recourant qui succombe. Il n'y a pas lieu d'allouer de dépens (cf. art. 49, 55 et 56 de la loi cantonale sur la procédure administrative [LPA-VD; BLV 173.36] et 4 al. 1 du Tarif cantonal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