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PE.2018.0122 vom 15. November 2018</w:t>
      </w:r>
    </w:p>
    <w:p>
      <w:r>
        <w:t>VD Tribunal cantonal, 2018-11-15, FR</w:t>
      </w:r>
    </w:p>
    <w:p>
      <w:r>
        <w:rPr>
          <w:b/>
        </w:rPr>
        <w:t xml:space="preserve">Quelle: </w:t>
      </w:r>
      <w:r>
        <w:t>https://mcp.opencaselaw.ch/entscheid/vd_omni_PE.2018.0122</w:t>
      </w:r>
    </w:p>
    <w:p>
      <w:r>
        <w:t>FR: VD_OMNI PE.2018.0122 du 15 novembre 2018</w:t>
      </w:r>
    </w:p>
    <w:p>
      <w:r>
        <w:t>IT: VD_OMNI PE.2018.0122 del 15 novembre 2018</w:t>
      </w:r>
    </w:p>
    <w:p>
      <w:pPr>
        <w:pStyle w:val="Heading2"/>
      </w:pPr>
      <w:r>
        <w:t>Regeste</w:t>
      </w:r>
    </w:p>
    <w:p>
      <w:r>
        <w:t>A.________ /Service de l'emploi Contrôle du marché du travail, Service de la population (SPOP) | Confirmation de la décision de refus d'autorisation pour l'exercice d'une activité indépendante, sollicitée par un ressortissant du Congo qui exploite en raison individuelle un garage de mécanique automobile et carrosserie. Pas de violation du droit d'être entendu. L'activité en cause ne présente pas un intérêt économique particulier pour le canton, ni pour la Suisse, de sorte que la condition de servir les intérêts économiques du pays (art. 19 let. a LEtr) n'est pas remplie. Absence également de qualifications particulières (art. 23 LEtr).</w:t>
      </w:r>
    </w:p>
    <w:p>
      <w:pPr>
        <w:pStyle w:val="Heading2"/>
      </w:pPr>
      <w:r>
        <w:t>Erwägungen</w:t>
      </w:r>
    </w:p>
    <w:p>
      <w:r>
        <w:rPr>
          <w:b/>
        </w:rPr>
        <w:t>E. 1</w:t>
      </w:r>
    </w:p>
    <w:p>
      <w:r>
        <w:t>La décision du SDE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recourant invoque une violation de son droit d’être entendu au motif qu’il n’aurait pas eu la possibilité de s’exprimer sur la position du SDE avant le refus de cette autorité. Il fait également valoir que le refus du SDE ne serait pas motivé. a) Aux termes de l’art. 33 al. 1 LPA-VD, hormis lorsqu'il y a péril en la demeure, les parties ont le droit d'être entendues avant toute décision les concernant. Par ailleurs, en vertu de l'art. 42 al. 1 LPA-VD, la décision contient notamment l'indication des faits, des règles juridiques et des motifs sur lesquels elle s'appuie (let. c). Le droit d 'être entendu garanti par l' art. 29 al. 2 Cst. (v. ég. l’art. 17 al. 2 Cst-VD) comprend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Le droit d’être entendu implique aussi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l’occurrence, le SDE n’a certes pas communiqué au recourant son intention de rejeter sa demande et il ne l’a pas invité à se déterminer à cet égard. Cela étant, la décision de cette autorité fait suite à la demande déposée par le recourant. Les conditions générales pour l’octroi d’un permis pour l’exercice d’une activité lucrative indépendante sont connues et il incombait à l’intéressé de fournir les explications et les pièces qu’il jugeait nécessaires à l’appui de sa demande. Il ne pouvait pas attendre que l’autorité lui donne une occasion supplémentaire de se prononcer, ce d’autant qu’elle n’a pas fondé sa décision sur un motif dont il ne pouvait supputer la pertinence (cf. ATF 130 III 35 consid. 5; 129 II 497 consid. 2.2; arrêt PE.2017.0041 du 7 juin 2017 consid. 5b). Le droit d’être entendu du recourant n’a donc pas été violé sur ce point. Par surabondance, à supposer même que tel ait été le cas, le vice aurait été réparé dans le cadre de la procédure de recours, puisque le recourant a eu à ce stade tout loisir de s’exprimer devant une juridiction disposant d’un plein pouvoir d’examen en fait et en droit (art. 98 LAP-VD) et de fournir les compléments de preuve nécessaires. Quant à la motivation de la décision attaquée, il apparaît, à la lecture de celle-ci, que l’autorité a en particulier fondé son refus de délivrer l’autorisation d’exercer une activité lucrative indépendante sollicitée sur l’art. 19 al. 1 de la loi fédérale du 16 décembre 2005 sur les étrangers (LEtr; RS 142.20). Elle a considéré que l’exploitation d’un garage en raison individuelle ne présentait pas un intérêt public et économique important pour le canton et qu’il n’en résulterait pas de retombées positives durables pour le marché suisse du travail. Le recourant l’a d’ailleurs bien compris, puisqu’il se prévaut notamment, dans son recours, d’une augmentation de ses prélèvements privés consécutive à celle de sa clientèle, ainsi que du fait qu’il prévoit l’engagement de personnel, ce qui contribuera à créer des emplois dans le canton de Vaud. La motivation de la décision attaquée apparaît en conséquence tout à fait suffisante en l’espèce et le grief du recourant sur ce point doit également être rejeté. Le recourant soutient par ailleurs en vain n’avoir pas été informé par les autorités qu’il ne pourrait pas être autorisé à s’installer comme indépendant, se référant à cet égard à son inscription au registre du commerce ainsi qu’à la visite de son garage par des spécialistes de la Suva. La demande de permis de séjour avec activité lucrative qu’il a remplie et signée contient en effet expressément l’avertissement selon lequel la prise d’emploi ne peut intervenir qu’après décision des autorités cantonales.</w:t>
      </w:r>
    </w:p>
    <w:p>
      <w:r>
        <w:rPr>
          <w:b/>
        </w:rPr>
        <w:t>E. 3</w:t>
      </w:r>
    </w:p>
    <w:p>
      <w:r>
        <w:t>Sur le fond, le litige porte sur le point de savoir si le SDE était fondé à refuser au recourant l’octroi d’une autorisation d’exercer une activité indépendante. a) Aux termes de l’art. 2 al. 1 LEtr, la loi sur les étrangers s’applique aux étrangers dans la mesure où leur statut juridique n'est pas réglé par d'autres dispositions du droit fédéral ou par des traités internationaux conclus par la Suisse. b) Le recourant, ressortissant du Congo, célibataire, ne peut pas être autorisé à exercer un emploi en qualité d’indépendant sur la base de l’accord conclu le 21 juin 1999 entre la Confédération suisse, d’une part, et la Communauté européenne et ses Etats membres, d’autre part, sur la libre circulation des personnes (ALCP; RS 0.142.112.681). Selon l’art. 1 er let. a ALCP, cet accord a en effet pour objectif d’accorder notamment un droit d’entrée, de séjour et d’établissement en tant qu’indépendant en faveur " des ressortissants " des Etats membres de l’Union européenne et de la Suisse. Le recourant prétend certes qu’il obtiendra sous peu la nationalité portugaise; tant que ce n’est pas le cas, il ne peut toutefois déduire aucun droit de l’ALCP. Le recourant se prévaut en vain également de son prochain mariage avec une ressortissante française, dont la demande d’autorisation de séjour de courte durée UE/AELE est encore en cours d’examen selon ses propres déclarations (cf. aussi attestation de l’intéressée produite à l’appui du recours; cf. pour le surplus arrêt CDAP PE.2016.0305 du 4 août 2017 consid. 7 s’agissant des conditions, non remplies ici, auxquelles les concubins peuvent se prévaloir de l’art. 3 annexe I ALCP). c) Quant au GATS (General Agreement on Trade in Services, accord général sur le commerce des services; en tant qu’annexe 1.B à l’accord du 15 avril 1994 instituant l’Organisation mondiale du commerce; RS 0.632.20), il prévoit la possibilité de transfert de cadres (transfert intrafirme), de dirigeants indispensables et de spécialistes hautement qualifiés d’entreprises de services étrangères pour une durée limitée (cf. directives intitulées "Domaine des étrangers (Directives LEtr)" du Secrétariat d'Etat aux migrations (SEM), version d'octobre 2013 actualisée le 1 er juillet 2018 , ch. 4.8.1). Le recourant ne fait manifestement pas partie du cercle de personnes concernées par cet accord et il n’est pas non plus question d’une activité en Suisse limitée dans le temps. d) Il convient donc d’examiner le recours au regard du droit interne, soit de la loi sur les étrangers.</w:t>
      </w:r>
    </w:p>
    <w:p>
      <w:r>
        <w:rPr>
          <w:b/>
        </w:rPr>
        <w:t>E. 4</w:t>
      </w:r>
    </w:p>
    <w:p>
      <w:r>
        <w:t>a) Le recourant ne peut se prévaloir d’aucun droit à la délivrance d’une autorisation de travail comme indépendant. Les art. 38 al. 4 et 46 LEtr, qui régissent le droit d’exercer une activité lucrative du titulaire d’une autorisation d’établissement, respectivement du conjoint d’un ressortissant suisse ou du titulaire d’une autorisation d’établissement ou de séjour, ne lui sont pas applicables. Il en va de même de l’art. 85 al. 6 LEtr, applicable aux étrangers au bénéfice d’une admission provisoire. b) L’octroi d’une autorisation en faveur du recourant pour l’exercice d’une activité indépendante entre donc uniquement en considération en application de l'art. 19 LEtr. Aux termes de cette disposition,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les conditions fixées aux art. 20 et 23 à 25 sont remplies (let. c). La condition de l'art. 19 let. a LEtr se trouve également à l'art. 3 al. 1 LEtr. L'art. 19 LEtr ne confère pas de droit absolu à l'étranger à l’autorisation de la prise d’emploi en qualité d’indépendant. Les autorités ont dans cette mesure un large pouvoir d’appréciation (cf. Peter Uebersax, in: Nguyen/Amarelle, Code annoté de droit des migrations, vol. II, LEtr, 2017, n. 3 ad art. 19 LEtr avec renvoi à n. 10 ad art. 18 LEtr; Marc Spescha, in: Specha/Thür/Zünd/Bolzli/Hruschka, Migrationsrecht, 4 e éd. 2015, n. 2 ad Vorbemerkungen zu Art. 18-26 LEtr; cf. également arrêts CDAP PE.2017.0493 du 13 juillet 2018 consid. 5a; PE.2017.0450 du 5 mars 2018 consid. 4a). Selon l’art. 20 LEtr, auquel renvoie l'art. 19 let. c LEtr, le Conseil fédéral peut limiter le nombre d'autorisations de séjour initiales octroyées en vue de l'exercice d'une activité lucrative (al. 1). Il peut fixer un nombre maximum d'autorisations pour la Confédération et pour chaque canton (al. 2). D’après l’art. 20 al. 1 de l’ordonnance du 24 octobre 2007 relative à l’admission, au séjour et à l’exercice d’une activité lucrative (OASA; RS 142.201), les cantons peuvent délivrer des autorisations de séjour dans les limites des nombres maximums fixés à l’annexe 2 ch. 1 let. a, à savoir au maximum 108 autorisations pour le canton de Vaud du 1 er janvier au 31 décembre 2018.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c) D'après les Directives LEtr, les requêtes tendant à l'octroi d'une autorisation de séjour pour activité lucrative indépendante peuvent être admises selon l'art. 19 LEtr s’il est prouvé qu’il en résultera des retombées durables positives pour le marché suisse du travail (intérêts économiques du pays).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(Directives LEtr, ch. 4.7.2.1 et les références à la jurisprudence du Tribunal administratif fédéral [TAF]). Eu égard aux intérêts économiques du pays, il ne s’agit notamment pas de créer et maintenir une infrastructure avec une main-d’œuvre peu qualifiée disposée à travailler pour de bas salaires, ni de soutenir des intérêts particuliers. Par ailleurs, les étrangers nouvellement entrés en Suisse ne doivent pas faire concurrence aux travailleurs déjà présents en provoquant, par leur disposition à accepter de moins bonnes conditions de rémunération et de travail, un dumping salarial et social (Directives LEtr, ch. 4.3.1 et les références à la jurisprudence du TAF; arrêts PE.2017.0493 du 13 juillet 2018 consid. 5b; PE.2017.0450 du 5 mars 2018 consid. 4b; PE.2015.0184 du 13 octobre 2015 consid. 4d).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LEtr; Spescha, op. cit., n. 1 ad art. 19 LEtr; cf. également arrêts PE.2017.0493 du 13 juillet 2018 consid. 5a; PE.2017.0450 du 5 mars 2consid. 4a).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LEtr, ch. 4.7.2.3; arrêts PE.2017.0493 du 13 juillet 2018 consid. 5a; PE.2017.0450 du 5 mars 2018 consid. 4a; PE.2015.0184 du 13 octobre 2015 consid. 4d). d) En l’occurrence, le SDE a considéré que l’exploitation d’un garage en raison individuelle ne présentait pas un intérêt public et économique important pour le canton et qu’il n’en résulterait pas des retombées positives durables pour l’économie suisse. Le recourant se prévaut du bon fonctionnement de son garage et du fait qu’il ne peut plus assumer la charge de travail seul et prévoit d’engager du personnel, ce qui contribuera à créer des emplois dans le canton. Il produit les contrats conclus avec certains de ses clients. Selon l’extrait du registre du commerce, le recourant est titulaire de l’entreprise individuelle D.________, dont le but est l’exploitation d’un garage de mécanique automobile et d’une carrosserie. A l’appui de sa demande de permis de séjour avec activité lucrative, il a fourni au SDE un " Compte de profits et pertes prévisionnel de l’exercice 2018 " dont il résulte un chiffre d’affaires de 108'000 fr. et un bénéfice de 46'250 fr. pour cet exercice. On ne saurait donc retenir que le recourant procède à des investissements substantiels. Si le recourant fait état, dans le cadre de la présente procédure, de prélèvements privés de 2'000 fr. en novembre et décembre 2017, de 2'500 fr. en février 2018, puis de 8'000 fr. en mars 2018, il ne l’établit pas. Les contrats produits, conclus entre janvier et mars 2018, portent par ailleurs sur la maintenance et les réparations à effectuer sur 18 véhicules au total, ce qui ne permet pas de retenir que le recourant ferait face à une charge de travail telle que l’engagement de personnel s’avérerait nécessaire, contrairement à ce qu’il soutient. Quoi qu’il en soit, quand bien même l’évolution de sa clientèle lui permettrait d’employer quelques personnes, son entreprise ne présenterait pas pour autant un intérêt économique particulier pour le canton de Vaud, ni pour la Suisse en général. Le recourant n’a de plus pas démontré que les prestations qu’il propose se distingueraient fondamentalement de celles fournies par d’autres entreprises existantes, ni qu’elles répondraient de manière avérée à un besoin non couvert jusqu’à présent. La condition de l’art. 19 let. a LEtr n’est donc pas remplie. En réalité, l’activité en cause sert en l’occurrence avant tout les intérêts particuliers du recourant, qui avait dans un premier temps tenté vainement d’obtenir une autorisation de séjour pour une prise d’emploi en qualité de salarié. Pour le surplus, le recourant ne remplit pas non plus les conditions de l’art. 23 al. 1 LEtr, qui concerne les cadres, spécialistes et autres travailleurs qualifiés, ni celles permettant, selon l’art. 23 al. 3 LEtr, de déroger à l’exigence de qualifications personnelles. Il n’occupe aucune des fonctions mentionnées à l’art. 23 al. 3 let. a, b, d et e LEtr. Quant à l’art. 23 al. 3 let. c LEtr, s’il concerne les travailleurs moins qualifiés mais qui disposent de connaissances et de capacités spécialisées indispensables à l’accomplissement de certaines activités, il doit toutefois s’agir d’activités ne pouvant pas, ou alors de manière insuffisante, être exécutées par un travailleurs indigène ou un ressortissant d’un Etat membre de l’UE ou de l’AELE (cf. arrêt du TAF C-5420/2012 du 15 janvier 2014 consid. 8.3; cf. également arrêts PE.2017.0260 du 22 janvier 2018 consid. 4a; PE.2017.0118 du 13 juin 2017 consid. 2b; PE.2016.0285 du 28 décembre 2016 consid. 5a). Or, ce n’est manifestement pas le cas de l’exploitation d’un garage automobile. Dans ces circonstances, la décision du SDE de ne pas octroyer au recourant d’autorisation pour exercer une activité en qualité d’indépendant, en puisant dans les unités réduites à disposition du canton de Vaud (108 unité pour 2018), n’est pas critiquable.</w:t>
      </w:r>
    </w:p>
    <w:p>
      <w:r>
        <w:rPr>
          <w:b/>
        </w:rPr>
        <w:t>E. 5</w:t>
      </w:r>
    </w:p>
    <w:p>
      <w:r>
        <w:t>Il découle des considérants qui précèdent que le recours, mal fondé, doit être rejeté et la décision du SDE du 1 er mars 2018 confirmée. Vu le sort de la cause, les frais de justice, arrêtés à 600 fr., sont mis à la charge du recourant (art. 49 al. 1 LPA-VD). Il n’est par ailleurs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