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PE.2018.0093 vom 15. November 2018</w:t>
      </w:r>
    </w:p>
    <w:p>
      <w:r>
        <w:t>VD Tribunal cantonal, 2018-11-15, FR</w:t>
      </w:r>
    </w:p>
    <w:p>
      <w:r>
        <w:rPr>
          <w:b/>
        </w:rPr>
        <w:t xml:space="preserve">Quelle: </w:t>
      </w:r>
      <w:r>
        <w:t>https://mcp.opencaselaw.ch/entscheid/vd_omni_PE.2018.0093</w:t>
      </w:r>
    </w:p>
    <w:p>
      <w:r>
        <w:t>FR: VD_OMNI PE.2018.0093 du 15 novembre 2018</w:t>
      </w:r>
    </w:p>
    <w:p>
      <w:r>
        <w:t>IT: VD_OMNI PE.2018.0093 del 15 novembre 2018</w:t>
      </w:r>
    </w:p>
    <w:p>
      <w:pPr>
        <w:pStyle w:val="Heading2"/>
      </w:pPr>
      <w:r>
        <w:t>Regeste</w:t>
      </w:r>
    </w:p>
    <w:p>
      <w:r>
        <w:t>A.________/Service de la population (SPOP) | Recours contre le refus de transformer à titre anticipé l’autorisation de séjour d’une ressortissante camerounaise établie en Suisse depuis 13 ans, qui a bénéficié de l’aide sociale de 2013 à 2015 en complément des revenus issus de plusieurs activités irrégulières. Si la recourante a constamment déployé des efforts pour s’intégrer sur le plan socio-professionnel, il serait prématuré de considérer qu’elle aurait acquis une stabilité économique, élément faisant obstacle à l’octroi d’une autorisation d’établissement. Recours rejeté.</w:t>
      </w:r>
    </w:p>
    <w:p>
      <w:pPr>
        <w:pStyle w:val="Heading2"/>
      </w:pPr>
      <w:r>
        <w:t>Erwägungen</w:t>
      </w:r>
    </w:p>
    <w:p>
      <w:r>
        <w:rPr>
          <w:b/>
        </w:rPr>
        <w:t>E. 1</w:t>
      </w:r>
    </w:p>
    <w:p>
      <w:r>
        <w:t>let. e LEtr (ATF 141 II 401 consid. 6.2.3; 135 II 265 consid. 3.7; TF 2C_1018/2016 du 22 mai 2017 consid. 3.1), elles ne sont néanmoins pas accordées lorsque le requérant dispose d'une fortune et de revenus suffisants (cf. art. 11 de la loi fédérale du 6 octobre 2006 sur les prestations complémentaires - LPC; RS 831.10). On relève à cet égard que le versement des PC familles n’a pris fin qu’après la prise d’emploi du conjoint de l’intéressée, le 13 septembre 2017. En définitive, la situation professionnelle et financière de la recourante n’a cessé de changer au cours des dernières années. Bien qu’elle et son époux disposent désormais d’activités ayant permis à la famille de devenir autonome, il n’existe aucune garantie que tel sera encore le cas à long terme. Partant, si les efforts que l’intéressée a constamment déployés pour rester sur le marché du travail - même après la naissance de son enfant - méritent d’être salués, il serait aujourd’hui prématuré de considérer qu’elle aurait acquis une stabilité économique et qu’elle serait en mesure de se prévaloir d’une intégration professionnelle réussie. Dans ces conditions, l’autorité intimée n’a pas abusé du large pouvoir d'appréciation dont elle dispose en refusant de délivrer une autorisation d'établissement à titre anticipé à la recourante en raison de son intégration insuffisante. Il convient de relever que cette dernière conserve la faculté de déposer une nouvelle demande de permis d'établissement en temps voulu - le cas échéant avant le 1 er octobre 2022 et l’expiration du délai de dix ans prévu à l’art. 34 al. 2 LEtr, contrairement à ce qu’indique la décision attaquée -, étant entendu que si sa situation financière se maintient, respectivement se consolide à l’avenir, l'autorité intimée ne pourra pas lui opposer indéfiniment le recours passé aux prestations des services sociaux.</w:t>
      </w:r>
    </w:p>
    <w:p>
      <w:r>
        <w:rPr>
          <w:b/>
        </w:rPr>
        <w:t>E. 2</w:t>
      </w:r>
    </w:p>
    <w:p>
      <w:r>
        <w:t>Les considérants qui précèdent conduisent au rejet du recours, manifestement mal fondé, et à la confirmation de la décision attaquée selon la procédure prévue par l'art. 82 LPA-VD. Vu l’issue de la cause, les frais de justice sont mis à la charge de la recourante (art. 49 al. 1 LPA-VD). Il n'est pas alloué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