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PE.2018.0087 vom 19. November 2018</w:t>
      </w:r>
    </w:p>
    <w:p>
      <w:r>
        <w:t>VD Tribunal cantonal, 2018-11-19, FR</w:t>
      </w:r>
    </w:p>
    <w:p>
      <w:r>
        <w:rPr>
          <w:b/>
        </w:rPr>
        <w:t xml:space="preserve">Quelle: </w:t>
      </w:r>
      <w:r>
        <w:t>https://mcp.opencaselaw.ch/entscheid/vd_omni_PE.2018.0087</w:t>
      </w:r>
    </w:p>
    <w:p>
      <w:r>
        <w:t>FR: VD_OMNI PE.2018.0087 du 19 novembre 2018</w:t>
      </w:r>
    </w:p>
    <w:p>
      <w:r>
        <w:t>IT: VD_OMNI PE.2018.0087 del 19 novembre 2018</w:t>
      </w:r>
    </w:p>
    <w:p>
      <w:pPr>
        <w:pStyle w:val="Heading2"/>
      </w:pPr>
      <w:r>
        <w:t>Regeste</w:t>
      </w:r>
    </w:p>
    <w:p>
      <w:r>
        <w:t>A.________/Service de l'emploi (SDE), Service de la population (SPOP) | Recours d'une société contre le refus du Service de l'emploi (SDE) de renouveler l'autorisation de travail de son "directeur juridique" et administrateur, ressortissant tunisien âgé de 37 ans. La question de savoir si le ressortissant étranger exerce une activité lucrative dépendante ou indépendante peut être laissée ouverte. La condition relative aux intérêts économiques du pays (art. 18 let. a et 19 let. a LEtr) n'est pas remplie dès lors que les perspectives de développement et les buts de la recourante sont formulés de manière trop générale et variée pour en apprécier la solidité. Les objectifs initialement fixés, puis modifiés, n'ont pas été atteints. Il n'existe pas de perspective de création d'emploi. La fonction de "directeur juridique" du ressortissant étranger comporte des tâches qui pourraient être assumées par un non juriste. Celui-ci pourrait également exercer son activité depuis la Tunisie. Recours rejeté. Recours au TF déclaré irrecevable (arrêt 2C_12/2019 du 7 janvier 2019).</w:t>
      </w:r>
    </w:p>
    <w:p>
      <w:pPr>
        <w:pStyle w:val="Heading2"/>
      </w:pPr>
      <w:r>
        <w:t>Erwägungen</w:t>
      </w:r>
    </w:p>
    <w:p>
      <w:r>
        <w:rPr>
          <w:b/>
        </w:rPr>
        <w:t>E. 1</w:t>
      </w:r>
    </w:p>
    <w:p>
      <w:r>
        <w:t>Interjeté en temps utile (art. 95 de la loi vaudoise du 28 octobre 2008 sur la procédure administrative [LPA-VD; RSV 173.36]), le recours satisfait par ailleurs aux autres conditions formelles de recevabilité de sorte qu'il y a lieu d'entrer en matière sur le fond. S'agissant des conclusions du recours (cf. art. 79 al. 1 LPA-VD, applicable par renvoi de l'art. 99 LPA-VD), on comprend aisément, nonobstant l'absence de conclusions dans ce sens, que la recourante conclut à la réforme de la décision attaquée en ce sens qu'une autorisation de séjour et de travail est octroyée au tiers intéressé.</w:t>
      </w:r>
    </w:p>
    <w:p>
      <w:r>
        <w:rPr>
          <w:b/>
        </w:rPr>
        <w:t>E. 2</w:t>
      </w:r>
    </w:p>
    <w:p>
      <w:r>
        <w:t>Dans son recours, la recourante se plaint d'une violation de son droit d'être entendue. a) Tel qu'il est garanti par l'art. 29 al. 2 de la Constitution fédérale de la Confédération suisse (Cst.; RS 101), le droit d'être entendu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et les réf. cit.; TF 2C_33/2017 du 8 juin 2017 consid. 3.1).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138 III 374 consid. 4.3.2; 130 II 425 consid. 2.1; 122 V 157 consid. 1d; 119 Ib 492 consid. 5b/bb). b) En l’occurrence, la recourante a bénéficié d'amplement de temps pour démontrer l'atteinte de ses objectifs. Reconnaissant, le 25 novembre 2016, que ses comptes des exercices 2014 et 2015 étaient déficitaires, elle a prétendu qu'ils seraient consolidés fin 2017. C'est notamment sur cette base que le SDE a accepté de renouveler l'autorisation de courte durée du tiers intéressé. Or, le 14 décembre 2017, la recourante a finalement indiqué que, pour diverses raisons, la consolidation de ses chiffres ne serait visible qu'en 2018-2019. Elle ne peut prétendre à ce que l'autorité administrative attende indéfiniment que la société, inscrite en novembre 2012 au registre du commerce, réalise les objectifs qu'elle s'est elle-même fixés. C'est ainsi à raison que le SDE a mis un terme à l'instruction et a statué sur la demande d'autorisation de travail, sans attendre l'accomplissement des résultats 2018-2019. Il en va de même pour la Cour de céans.</w:t>
      </w:r>
    </w:p>
    <w:p>
      <w:r>
        <w:rPr>
          <w:b/>
        </w:rPr>
        <w:t>E. 3</w:t>
      </w:r>
    </w:p>
    <w:p>
      <w:r>
        <w:t>a) Les ressortissants étrangers ne bénéficient en principe d'aucun droit à l'obtention d'une autorisation de séjour et de travail, sauf s'ils peuvent le déduire d'une norme particulière du droit fédéral ou d'un traité international (ATF 130 II 281 consid. 2.1, 493 consid. 3.1; 128 II 145 consid. 1.1.1). b) Le tiers intéressé étant de nationalité tunisienne, la recourante invoque l’Accord de coopération en matière de migration conclu le 11 juin 2012 entre la Confédération suisse et la République tunisienne (RS 0.142.117.589). Cet accord est avant tout destiné à prévenir la migration irrégulière et à favoriser la réadmission et le retour volontaire de personnes (cf. Préambule). Il règlemente néanmoins à son chapitre II les conditions d'entrée et de séjour en Suisse. Ainsi, aux termes de son art. 5 par. 2 let. a, les ressortissants d'une Partie contractante peuvent être admis sur le territoire de l'autre Partie contractante en vue de l'exercice d'une activité lucrative en conformité avec la législation nationale applicable, en particulier pour exercer une activité lucrative dans le but de développer l'économie du pays d'accueil et de renforcer les échanges dans ce domaine. L'accord précité reprend ainsi les art. 18 let. a ou 19 let. a LEtr selon lesquels l'étranger peut être admis en vue de l'exercice d'une activité lucrative salariée ou indépendante si son admission sert les intérêts économiques du pays. Il en va de même pour l'art. 5 par. 2 let. b de l'Accord, qui reprend l'art. 21 al. 3 LEtr dont se prévaut la recourante. Il s'agit de dispositions potestatives, ce qui implique que leur application est laissée à l'appréciation de l'autorité compétente (art. 96 LEtr). La recourante ne peut ainsi pas se prévaloir d’un droit de séjour fondé sur l'art. 18 ou 21 al. 3 LEtr, ni non plus a fortiori sur l'Accord de coopération du 11 juin 2012. Vu le contenu des dispositions précitées de l'Accord, le présent recours s'examinera ainsi au regard des textes du droit interne, soit la LEtr et ses ordonnances d’application.</w:t>
      </w:r>
    </w:p>
    <w:p>
      <w:r>
        <w:rPr>
          <w:b/>
        </w:rPr>
        <w:t>E. 4</w:t>
      </w:r>
    </w:p>
    <w:p>
      <w:r>
        <w:t>Le litige porte sur la question de savoir si le tiers intéressé peut prétendre à l'octroi d'une autorisation de séjour et de travail afin de poursuivre son activité de " directeur juridique " au sein de la société recourante. Alors que la première demande d'autorisation du 20 octobre 2014 avait été déposée en vue de l'exercice d'une activité lucrative indépendante (art. 19 LEtr), le SDE a examiné la dernière demande d'autorisation du 22 août 2017 comme une demande pour l'exercice d'une activité salariée (art. 18 LEtr). La question de savoir si le tiers intéressé exerce une activité lucrative salariée ou indépendante peut se poser car bien que ce dernier perçoive un salaire pour le poste de " directeur juridique " qu'il occupe, la recourante soutient qu'il est plus qu'un simple employé. Il est " le co-fondateur et co-concepteur de A.________ ", membre de son conseil d'administration et propriétaire de 15% des actions du capital social. Cela étant, la qualification de l'activité lucrative peut être laissée ouverte dans la mesure où la décision attaquée se fonde sur le non-respect du critère des " intérêts économiques de la Suisse ", critère qui doit être rempli tant pour l'exercice d'une activité salariée (cf. art. 18 let. a LEtr) qu'indépendante (cf. art. 19 let. a LEtr).</w:t>
      </w:r>
    </w:p>
    <w:p>
      <w:r>
        <w:rPr>
          <w:b/>
        </w:rPr>
        <w:t>E. 5</w:t>
      </w:r>
    </w:p>
    <w:p>
      <w:r>
        <w:t>a) Aux termes de l’art. 18 LEtr, un étranger ne peut être admis en vue de l’exercice d’une activité lucrative salariée que si cela sert les intérêts économiques du pays (let. a), si son employeur a déposé une demande (let. b) et si les conditions fixées aux art. 20 à 25 de la loi sont remplies (let. c). L'art. 19 LEtr prévoit qu'un étranger peut être admis en vue de l'exercice d'une activité lucrative indépendante si son admission sert les intérêts économiques du pays (let. a), si les conditions financières et les exigences relatives à l'exploitation de l'entreprise sont remplies (let. b), s'il dispose d'une source de revenus suffisante et autonome, et si les conditions fixées aux art. 20 et 23 à 25 sont remplies (let. c). Quant aux art. 20, 21, 22 et 23 LEtr, ils sont formulés comme suit: Art. 20 Mesures de limitation 1 Le Conseil fédéral peut limiter le nombre d'autorisations de courte durée initiales et celui des autorisations de séjour initiales (art. 32 et 33) octroyées en vue de l'exercice d'une activité lucrative. Il entend les cantons et les partenaires sociaux au préalable. 2 Il peut fixer un nombre maximum d'autorisations pour la Confédération et pour chaque canton. 3 Le SEM peut, dans les limites du contingent de la Confédération, octroyer lui-même des autorisations initiales de courte durée ou de séjour ou relever le contingent d'un canton. Il tient compte des besoins du canton et des intérêts économiques du pays. Art. 21 Ordre de priorité 1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2 Sont considérés comme travailleurs en Suisse: a.           les Suisses; b.           les titulaires d'une autorisation d'établissement; c.           les titulaires d'une autorisation de séjour qui ont le droit d'exercer une activité lucrative; d.           les étrangers admis à titre provisoire; e.           les personnes auxquelles une protection provisoire a été octroyée et qui sont titulaires d'une autorisation d'exercer une activité lucrative. 3 En dérogation à l'al. 1, un étranger titulaire d'un diplôme d'une haute école suisse peut être admis si son activité lucrative revêt un intérêt scientifique ou économique prépondérant. Il est admis provisoirement pendant six mois à compter de la fin de sa formation ou de sa formation continue en Suisse pour trouver une telle activité. Art. 22 Conditions de rémunération et de travail Un étranger ne peut être admis en vue de l'exercice d'une activité lucrative qu'aux conditions de rémunération et de travail usuelles du lieu, de la profession et de la branche. Art. 23 Qualifications personnelles 1 Seuls les cadres, les spécialistes ou autres travailleurs qualifiés peuvent obtenir une autorisation de courte durée ou de séjour. 2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3 Peuvent être admis, en dérogation aux al. 1 et 2: a.           les investisseurs et les chefs d'entreprise qui créeront ou qui maintiendront des emplois; b.           les personnalités reconnues des domaines scientifique, culturel ou sportif; c.           les personnes possédant des connaissances ou des capacités professionnelles particulières, si leur admission répond de manière avérée à un besoin; d.           les cadres transférés par des entreprises actives au plan international; e.           les personnes actives dans le cadre de relations d'affaires internationales de grande portée économique et dont l'activité est indispensable en Suisse. b) La notion d'" intérêts économiques du pays " retenus notamment aux art. 18, 19 et 20 LEtr (cf. également art. 3 al. 1 LEtr) est formulée de façon ouverte. Elle concerne au premier chef le domaine du marché du travail (cf. Message du Conseil fédéral du 8 mars 2002 concernant la loi sur les étrangers, FF 2002 3469, p. 3485 et 3536).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(cf. Message précité, p. 3536). En particulier, les intérêts économiques de la Suisse seront servis lorsque, dans un certain domaine d'activité, il existe une demande durable à laquelle la main-d'œuvre étrangère en cause est susceptible de répondre sur le long terme (cf. CDAP PE.2018.0151 du 23 juillet 2018 consid. 1b; Marc Spescha/Antonia Kerland/Peter Bolzli, Handbuch zum Migrationsrecht, 2 e éd., Zurich 2015, p. 173; Spescha/Thür/Zünd/Bolzli, Migrationsrecht, 4 e éd., Zurich 2015, n. 1 ad art. 18 LEtr; Peter Uebersax, in: Nguyen/Amarelle, Code annoté de droit des migrations, Vol. II, Loi sur les étrangers, Berne 2017, n. 25 ad art. 18 LEtr; cf. aussi art. 23 al. 3 LEtr). Selon les Directives et commentaires édictés par le SEM dans le domaine des étrangers, dans leur version en vigueur au 1 er juillet 2018 (ci-après: Directives LEtr), lors de l’appréciation du cas, il convient de tenir compte en particulier de la situation sur le marché du travail, de l’évolution économique durable et de la capacité de l’étranger concerné de s’intégrer. Il ne s’agit pas de maintenir une infrastructure avec une main-d'œuvre peu qualifiée disposée à travailler pour de bas salaires, ni de soutenir des intérêts particuliers (Directives LEtr, ch. 4.3.1; cf. aussi Message précité, ch.1.2.3.1, p. 3486). Les Directives LEtr ajoutent que l'étranger peut être admis en vue de l'exercice d'une activité indépendante s’il est prouvé que cette activité aura des retombées durables positives pour le marché suisse du travail (intérêts économiques du pays). On considère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et génère de nouveaux mandats pour l’économie helvétique (Directives LEtr, ch. 4.7.2.1). En définitive, la notion d'" intérêts économiques du pays " doit être interprétée à l'aune des art. 18 à 23 LEtr. Il faut aussi tenir compte de la priorité aux travailleurs en Suisse et aux personnes mises au bénéfice du régime des Accords avec l'Union européenne et l'EFTA (cf. en outre le nouvel art. 21a LEtr entré en vigueur le 1 er juillet 2018), de la prévention contre le dumping salarial et social et des qualifications du candidat étranger (cf. Minh Son Nguyen, in: Nguyen/Amarelle, op. cit., n. 10 ss ad art. 3 LEtr). c) En l'espèce, le but de la société recourante est très large et embrasse des domaines fort éloignés les uns des autres. Selon le business plan 2014 et la lettre de motivation du 19 octobre 2014 produits à l'appui de la première demande d'autorisation de travail, la recourante comptait développer ses activités dans " les domaines de développement de projets technologiques, de marques (branding), de management de projets et de gestion juridique de projets ". Elle avait pour objectif de créer de l'emploi en Suisse en engageant de cinq à dix personnes entre 2015 et 2017. D'ici à la fin de l'année 2017, elle prévoyait un chiffre d'affaires de 1'000'000 fr. et un profit net de 466'000 francs. C'est sur cette base que le SDE a accepté, malgré des buts statutaires très généraux, d'octroyer une autorisation de travail au tiers intéressé. Le 25 novembre 2016, la recourante a exposé, à l'occasion de la demande de prolongation de l'autorisation de courte durée, que la société avait pris des décisions stratégiques afin de mieux se positionner sur le marché. Elle avait donc décidé de participer " opérationnellement et financièrement à la création de la marque ******** ". Le document intitulé " Plan de développement A.________ " relate également d'autres opérations effectuées en lien avec diverses marques, mais insiste sur l'importance du projet "********", qui consiste à " créer un produit alimentaire pour le marché de luxe ". La recourante a reconnu que ses comptes 2014-2015 étaient déficitaires. Vu la modification du business plan, le retour sur investissement était dorénavant prévu pour fin 2017. Le SDE a alors averti la recourante, par courrier du 16 décembre 2016, que si la demande initiale avait été présentée avec la réorientation du projet telle qu'exposée, aucune autorisation n'aurait été délivrée. Un éventuel renouvellement de l'autorisation serait dès lors conditionné à une augmentation notable du chiffre d’affaires et du salaire du tiers intéressé. La société devait également veiller à se concentrer sur la création de postes de travail et la modification du business plan afin d’atteindre les objectifs initiaux. Lors de sa demande de renouvellement du 22 août 2017 ici litigieuse, la recourante n'a pu démontrer aucun progrès au niveau de son chiffre d'affaires. Elle a déclaré que bien qu'elle ait annoncé l'aboutissement de son business plan à fin 2017, les changements stratégiques au sein de la société avaient entraîné du retard. Ainsi, la consolidation des chiffres ne serait visible qu'en 2018-2019 puisque les négociations entamées en 2016-2017 (G.________, D.________) aboutiraient dans les mois à venir. Lasse de constater que les objectifs initiaux n'étaient toujours pas atteints, l'autorité intimée a refusé la nouvelle demande d'autorisation de travail. Il y a lieu de rappeler que la délivrance de l'autorisation requise repose sur le pouvoir d'appréciation de l'autorité du marché du travail (CDAP PE.2015.0335 du 30 novembre 2015 consid. 2b). Ainsi, l'autorité de céans n'intervient que si cette appréciation est abusive ou excessive. En l'occurrence, l'appréciation de l'autorité intimée doit être confirmée. Les domaines visés par la recourante ne relèvent pas d'activités procurant une haute valeur ajoutée. Comme le soulignait l’autorité intimée en regard des buts de la société, les activités ont été formulées en termes si généraux qu’il n’est pas possible d’apprécier leur impact réel sur le marché, à savoir de déterminer si elles correspondent à un intérêt économique ayant des conséquences déterminantes dans le canton ainsi que sur le marché suisse. Il en va a fortiori de même pour les nouveaux objectifs qui ressortent du document " Présentation A.________ 2017 " selon lesquels la société recourante opère dans " les domaines du marketing immersif et de la communication, du négoce et du commerce ainsi que dans l'évènementiel ". Partant, il y a lieu de considérer que les activités envisagées servent en réalité les intérêts particuliers de la recourante et du tiers intéressé plutôt que l'intérêt économique suisse. La recourante n'apporte aucun élément objectif attestant d'une amélioration imminente de ses chiffres. Elle a déjà largement profité de l'indulgence de l'autorité intimée, qui a accepté la prolongation des autorisations de travail du tiers intéressé de 2014 à 2017. Les perspectives de développement de la société, inscrite au registre du commerce depuis le 12 novembre 2012, ne sont pas étayées, la recourante n'ayant eu cesse de modifier ses objectifs et de faire des prévisions trop optimistes. Ces perspectives paraissent pour le moins aléatoires dans des secteurs – le marketing immersif, l'importation de produits (notamment d'huile d'olive), etc. – dont rien n’indique qu’ils soient particulièrement porteurs dans le Canton de Vaud. S'agissant du nouveau projet "E.________" de la recourante en partenariat avec D.________, actif dans le domaine de la réalité virtuelle, rien n'indique qu'il porte ses fruits dans un avenir proche. Il en va de même pour la commercialisation des produits "F.________" (œufs d'escargots), dont deux seules factures pour l'année 2018 d'un montant total de 13'600 fr. ont été produites. Quant aux perspectives de création d'emplois à moyen terme en relation avec la croissance escomptée de la société, elles sont faibles puisque, outre le poste occupé par le tiers intéressé, la société indique que, pour des raisons budgétaires, elle travaille en partenariat avec d'autres entreprises suisses ainsi que des prestataires de services en Suisse. Ces indications sont bien loin de celles qui figuraient dans son business plan de 2014. On peut dès lors conclure que ni l'activité de la recourante, ni celle exercée en son sein par le tiers intéressé n'a d'intérêt économique important pour le Canton de Vaud ou la Suisse en général (cf. pour des cas similaires, CDAP PE.2017.0493 du 13 juillet 2018 consid. 5c et PE.2016.0276 du 21 novembre 2016 consid. 2c). Pour le surplus, la fonction de " directeur juridique " du tiers intéressé semble comprendre des tâches aussi diverses que variées, sans forcément avoir de liens avec la formation juridique de ce dernier. La recourante ne démontre pas que l'activité exercée par le tiers intéressé, juriste titulaire d'un Master en droit, l'amène à mettre en pratique à un haut niveau les connaissances qu'il a acquises. L'administratrice présidente indique dans un courrier du 15 novembre 2016 adressé au SDE avoir confié au tiers intéressé " en majeure partie la conception, la structure légale, la communication et le marketing, l'initiation et le développement de contacts pour entrer en affaires avec nos partenaires divers ". On pourrait ainsi imaginer qu'une personne au bénéfice d'une formation en économie puisse effectuer le travail du tiers intéressé, s'appuyant de temps à autre sur les conseils d'un consultant juridique. La rémunération brute contractuellement servie au tiers intéressé a en outre été revue à la baisse en 2016 (4'000 fr.) pour à nouveau être augmentée à 5'500 fr. en 2017. Elle semble ainsi bien modeste au regard des qualités que prête la recourante à son collaborateur, à qui elle a confié la mise en œuvre de plusieurs projets. Enfin, rien n'empêche la recourante de poursuivre sa collaboration avec le tiers intéressé qui travaillerait depuis la Tunisie. Elle indique elle-même que la société " opère entre la Suisse et la zone MENA, en l'occurrence la Tunisie et les Emirats Arabes Unis " (cf. business plan 2014). La présence, respectivement une résidence habituelle en Suisse du tiers intéressé, n'est en effet pas indispensable à la poursuite des objectifs de la recourante. Au vu de ces éléments, l'appréciation de l'autorité intimée selon laquelle il n'est pas établi que l'activité du tiers intéressé pour la recourante serve les intérêts économiques de la Suisse ne prête pas le flanc à la critique. Compte tenu de ce qui précède, la question de savoir si toutes les conditions des art. 20 à 25 LEtr sont remplies peut rester indécise, la demande d’autorisation de travail et de séjour devant de toute manière être refusée. En particulier au sujet de l'art. 21 al. 3 LEtr invoqué par la recourante, comprenant également l'exigence d'un " intérêt (scientifique ou) économique prépondérant ", il peut être renvoyé aux développements exposés ci-dessus. Partant, c'est à juste titre, et sans violation du droit fédéral, que l'autorité intimée a refusé d'octroyer l'autorisation sollicitée.</w:t>
      </w:r>
    </w:p>
    <w:p>
      <w:r>
        <w:rPr>
          <w:b/>
        </w:rPr>
        <w:t>E. 6</w:t>
      </w:r>
    </w:p>
    <w:p>
      <w:r>
        <w:t>Les considérants qui précèdent conduisent au rejet du recours et à la confirmation de la décision attaquée. Vu l'issue du recours, les frais, par 600 fr., sont mis à la charge de la recourante (art. 49, 91 et 99 LPA-VD, art. 4 al. 1 du tarif des frais judiciaires et des dépens en matière administrative du 28 avril 2015 [TFJDA; RSV 173.36.5.1]). Il n'est pas alloué de dépens (art.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