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PE.2018.0033 vom 1. März 2018</w:t>
      </w:r>
    </w:p>
    <w:p>
      <w:r>
        <w:t>VD Tribunal cantonal, 2018-03-01, FR</w:t>
      </w:r>
    </w:p>
    <w:p>
      <w:r>
        <w:rPr>
          <w:b/>
        </w:rPr>
        <w:t xml:space="preserve">Quelle: </w:t>
      </w:r>
      <w:r>
        <w:t>https://mcp.opencaselaw.ch/entscheid/vd_omni_PE.2018.0033</w:t>
      </w:r>
    </w:p>
    <w:p>
      <w:r>
        <w:t>FR: VD_OMNI PE.2018.0033 du 1 mars 2018</w:t>
      </w:r>
    </w:p>
    <w:p>
      <w:r>
        <w:t>IT: VD_OMNI PE.2018.0033 del 1 marzo 2018</w:t>
      </w:r>
    </w:p>
    <w:p>
      <w:pPr>
        <w:pStyle w:val="Heading2"/>
      </w:pPr>
      <w:r>
        <w:t>Regeste</w:t>
      </w:r>
    </w:p>
    <w:p>
      <w:r>
        <w:t>A.________/Service de la population (SPOP) | Confirmation d'une décision d'assignation à un lieu de résidence. Les conditions de l'art. 74 al. 1 let. b LEtr sont réalisées: la recourante fait l'objet d'une décision de renvoi entrée en force et a refusé d'embarquer sur les vols qui lui étaient réservés. Le principe de proportionnalité est également respecté: la mesure litigieuse n'est prévue que la nuit; elle n'empêche ainsi pas la recourante, qui est libre de ses mouvements durant la journée, de bénéficier du soutien familial et médical dont elle et sa fille ont besoin.</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w:t>
      </w:r>
    </w:p>
    <w:p>
      <w:r>
        <w:rPr>
          <w:b/>
        </w:rPr>
        <w:t>E. 2</w:t>
      </w:r>
    </w:p>
    <w:p>
      <w:r>
        <w:t>La compétence d'ordonner ces mesures incombe au canton qui exécute le renvoi ou l'expulsion. […]</w:t>
      </w:r>
    </w:p>
    <w:p>
      <w:r>
        <w:rPr>
          <w:b/>
        </w:rPr>
        <w:t>E. 3</w:t>
      </w:r>
    </w:p>
    <w:p>
      <w:r>
        <w:t>Les considérants qui précèdent conduisent au rejet du recours et à la confirmation de la décision attaquée. Il est statué sans frais ni dépens (art. 49, 50,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