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PE.2017.0545 vom 13. November 2018</w:t>
      </w:r>
    </w:p>
    <w:p>
      <w:r>
        <w:t>VD Tribunal cantonal, 2018-11-13, FR</w:t>
      </w:r>
    </w:p>
    <w:p>
      <w:r>
        <w:rPr>
          <w:b/>
        </w:rPr>
        <w:t xml:space="preserve">Quelle: </w:t>
      </w:r>
      <w:r>
        <w:t>https://mcp.opencaselaw.ch/entscheid/vd_omni_PE.2017.0545</w:t>
      </w:r>
    </w:p>
    <w:p>
      <w:r>
        <w:t>FR: VD_OMNI PE.2017.0545 du 13 novembre 2018</w:t>
      </w:r>
    </w:p>
    <w:p>
      <w:r>
        <w:t>IT: VD_OMNI PE.2017.0545 del 13 novembre 2018</w:t>
      </w:r>
    </w:p>
    <w:p>
      <w:pPr>
        <w:pStyle w:val="Heading2"/>
      </w:pPr>
      <w:r>
        <w:t>Regeste</w:t>
      </w:r>
    </w:p>
    <w:p>
      <w:r>
        <w:t>A.________/Département de l'économie, de l'innovation et du sport (DEIS), Service de la population (SPOP) | Recours d'un ressortissant italien âgé de 23 ans et né en Suisse contre la décision du DEIS révoquant son autorisation d'établissement et prononçant son renvoi. - L'autorité de police des étrangers conservait sa compétence pour révoquer l'autorisation du recourant. La dernière ordonnance pénale statuant sur des infractions commises par le recourant après le 1er octobre 2016 concerne des contraventions pour lesquelles le ministère public n'est pas compétent pour prononcer l'expulsion. - Le recourant s'est vu condamner à une peine de trois ans de prison pour des actes pour lesquels le Tribunal fédéral se montre particulièrement rigoureux (tentative de lésions corporelles graves et lésions corporelles simples et simples qualifiées). Vu l'ensemble de son passé criminel, le recourant représente toujours une menace grave pour l'ordre public suisse. - La relation amoureuse qu'il entretient avec son amie ne saurait fonder un droit à la protection de la vie familiale. - Bien que la famille (mère et frère) du recourant vive en Suisse, la pesée des intérêts en présence postule en faveur de son éloignement de Suisse. Recours rejeté. Recours formé devant le Tribunal fédéal rejeté par arrêt du 13 novembre 2018 (2C_725/2018).</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L'autorité intimée a révoqué l'autorisation d'établissement du recourant, citoyen italien. a) Selon son art. 2 al. 2, la loi fédérale du 16 décembre 2005 sur les étrangers (LEtr; RS 142.20) ne s'applique aux ressortissants des États membres de l'Union européenne que lorsque l'ALCP n'en dispose pas autrement ou lorsqu'elle prévoit des dispositions plus favorables. L'ALCP ne réglementant pas en tant que tel le retrait de l'autorisation d'établissement UE/AELE, c'est l'art. 63 LEtr qui est applicable (cf. art. 23 al. 2 de l'ordonnance du 22 mai 2002 sur l'introduction progressive de la libre circulation des personnes entre, d'une part, la Confédération suisse et, d'autre part, l'Union européenne et ses États membres, ainsi qu'entre les États membres de l'Association européenne de libre-échange [OLCP; RS 142.203]). b) A teneur de l' art. 63 al. 2 LEtr , et sous réserve de l' art. 5 par. 1 annexe I ALCP (cf. consid. 3 ci-dessous), l'autorisation d'établissement d'un étranger qui séjourne en Suisse légalement et sans interruption depuis plus de quinze ans ne peut être révoquée que pour les motifs mentionnés à l' art. 63 al. 1 let. b LEtr et à l' art. 62 al. 1 let. b LEtr . Aux termes de l' art. 63 al. 1 let. b LEtr , l'autorisation d'établissement peut être révoquée si l'étranger attente de manière très grave à la sécurité et l'ordre publics en Suisse ou à l'étranger, les met en danger ou représente une menace pour la sécurité intérieure ou extérieure de la Suisse. Selon l' art. 62 al. 1 let. b LEtr ,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w:t>
      </w:r>
    </w:p>
    <w:p>
      <w:r>
        <w:rPr>
          <w:b/>
        </w:rPr>
        <w:t>E. 2.1</w:t>
      </w:r>
    </w:p>
    <w:p>
      <w:r>
        <w:t>p. 147; 139 II 65 consid. 5.1 p. 72). D'après l'art. 63 al. 3 LEtr, en vigueur depuis le 1 er octobre 2016, est illicite toute révocation de l’autorisation d’établissement fondée uniquement sur des infractions pour lesquelles un juge pénal a déjà prononcé une peine ou une mesure mais a renoncé à prononcer une expulsion. La même précision a été introduite à l'art. 62 al. 2 LEtr s'agissant des autorisations de séjour. Depuis le 1 er octobre 2016, les art. 66a ss du Code pénal suisse du 21 décembre 1937 (CP; RS 311.0) permettent désormais au juge pénal de prononcer l'expulsion (obligatoire ou facultative) d'un étranger ayant été condamné à une peine (privative de liberté ou pécuniaire) ou ayant fait l'objet d'une mesure pour avoir commis un crime ou un délit. c) En l'occurrence, l'ordonnance pénale du Ministère public du 17 février 2017 fait suite à deux contraventions commises par le recourant respectivement dans la nuit du 2 au 3 décembre 2016 pour ce qui est de la violation des devoirs en cas d'accident [art. 92 al. 1 LCR] et de la contravention à l'art. 3a al. 1 OCR) et à compter du mois de mai 2015 pour ce qui est de la contravention à l'art. 19a LStup. Le procureur n'était à l'évidence pas compétent pour prononcer l'expulsion du recourant se fondant sur les art. 66a ou 66a bis CP dès lors que les infractions commises ne constituent pas des délits ni des crimes (cf. art. 10 CP), mais bien des contraventions, punissables de l'amende (cf. art. 103 CP). L'autorité intimée conservait dès lors sa compétence pour révoquer l'autorisation d'établissement du recourant. Par ailleurs, par sa condamnation du 10 septembre 2015 à trois ans de peine privative de liberté, le recourant remplit le motif permettant de révoquer son autorisation d'établissement, au sens des art. 62 al. 1 let. b LEtr , par renvoi de l' art. 63 al. 2 LEtr .</w:t>
      </w:r>
    </w:p>
    <w:p>
      <w:r>
        <w:rPr>
          <w:b/>
        </w:rPr>
        <w:t>E. 3</w:t>
      </w:r>
    </w:p>
    <w:p>
      <w:r>
        <w:t>a) Dès lors que le recourant est un ressortissant italien titulaire d'une autorisation d'établissement UE/AELE, la révocation de cette autorisation constitue une limite à la libre circulation des personnes qui doit être conforme aux exigences de l'ALCP (TF 2C_225/2013 du 27 juin 2013, consid. 3; 2C_1237/2012 du 22 avril 2013, consid. 4.1; 2C_401/2012 du 18 septembre 2012, consid. 3.1; 2C_238/2012 du 30 juillet 2012, consid. 2.1). Comme l'ensemble des droits octroyés par l'ALCP, le droit de demeurer en Suisse ne peut être limité que par des mesures d'ordre ou de sécurité publics, au sens de l'art. 5 par. 1 annexe I ALCP (cf. ATF 140 II 112 consid. 3.6.2 p. 125).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126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126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126 et les références citées), étant précisé que la commission d'infractions qui sont en étroite relation avec la toxicomanie du délinquant peut, selon les circonstances, atténuer cette position de principe ( ATF 139 II 121 consid. 5.3 p. 126 et les références citées). b) Le recourant conteste l'existence d'un risque de récidive. Il rappelle notamment qu'il n'était âgé que de 16 ans lors de la commission des infractions pour lesquelles il s'est vu condamner par le Tribunal des mineurs. Il n'avait que 18 ans lors de la commission des infractions lui ayant valu une peine privative de liberté de trois ans. Ces dernières infractions ont été commises alors qu'il n'avait pas encore purgé sa première peine d'emprisonnement. Il rappelle avoir été libéré conditionnellement lors de l'exécution de cette première peine. Il affirme avoir pris conscience de ses erreurs. Les deux récentes condamnations pour injure et contravention à l'OCR et à la LStup ne modifieraient en rien cette appréciation. Il indique encore s'être régulièrement acquitté des frais de procédure pénale, comme preuve de sa prise de conscience. c) En l'espèce, l'autorité intimée retient quatre condamnations pour des actes qu'a commis le recourant. Il ressort cependant du jugement du Tribunal des mineurs du 11 octobre 2013 et de l'arrêt de la Cour d'appel pénale du 10 septembre 2015 que le recourant occupe la justice pénale depuis bien plus longtemps déjà. En 2002, une réprimande lui a été adressée par le Président du Tribunal des mineurs pour entrave aux services des chemins de fer. En 2010, puis à nouveau en 2011, la justice pénale des mineurs l'a condamné à trois demi-journées de prestations personnelles à subir sous forme de travail pour vol d'importance mineure, contravention à l'art. 19 LStup et usage abusif d'un cycle. Il a ensuite été condamné à deux peines privatives de liberté, en 2013 et 2015 pour des faits commis en 2011 et 2013/2014. S'agissant de la condamnation de 2013 à huit mois d'emprisonnement, elle fait suite à des actes de violence grave et délibérée perpétrés par le recourant au moyen d'une barre de fer et d'un couteau ayant occasionné des lésions corporelles permanentes à certaines de ses victimes. La gravité des faits est impressionnante surtout s'il l'on pense qu'ils ont été commis par un jeune de 16 ans. Le recourant ne s'est malheureusement pas arrêté là. Déjà condamné à une peine privative de liberté (qu'il n'avait pas commencé à purger), il n'a pas hésité à poursuivre son activité criminelle en se rendant notamment coupable de tentative de lésions corporelles graves, de lésions corporelles simples et simples qualifiées, d'agression et de violence ou menace contre les autorités et les fonctionnaires. Pour ces infractions, il s'est retrouvé face à la justice pénale des adultes qui l'a condamné à trois ans de peine privative de liberté. Les actes de violence ayant abouti à cette condamnation sont particulièrement odieux (le recourant ayant utilisé des objets dangereux pour frapper ses victimes au visage ou ayant continué à les frapper alors qu'elles étaient à terre, même sans connaissance). Ces actes s'inscrivent dans la durée, puisqu'ils ont été perpétrés d'avril 2013 à février 2014. Cette suite d'infractions démontre son incapacité à respecter l'ordre juridique et l'absence de prise de conscience dont il fait preuve. La Cour d'appel pénale retient d'ailleurs dans son arrêt que le recourant est " un homme particulièrement violent et incorrigible. [...] Il n'est sensible à aucune peine et se moque des autorités. [...] Il n'a pas peur de la prison et ne semble pas avoir tiré le moindre enseignement de son parcours judiciaire. " Si, néanmoins à ce moment, l'on pouvait espérer que le recourant ait appris de ses erreurs, il n'en est rien. Le recourant a été condamné pour injures et contravention au Règlement de police le 16 juin 2016 ainsi que pour violation de ses devoirs en cas d'accident et contravention à l'art. 19 LStup, le 17 février 2017. Ces actes ont été commis respectivement le 6 mai et le 3 décembre 2016. L'ordonnance pénale rendue le 17 février 2017 retient également que le recourant fume du cannabis à raison d'un joint par jour depuis le mois de mai 2015. Dans ce contexte, le recourant ne peut tirer aucun argument de sa libération conditionnelle intervenue le 21 juillet 2014, alors qu'il purgeait sa première peine privative de liberté, ni du fait qu'il s'acquitte régulièrement des frais de ses procédures pénales. Certes, après le 3 décembre 2016, il n'a plus adopté de comportement répréhensible. Toutefois, le 28 février 2018, soit à peine deux mois après sa dernière infraction, le recourant a été incarcéré afin d'exécuter sa dernière peine privative de liberté. Or, il est de toute façon attendu d'un délinquant qu'il se comporte de manière adéquate durant l'exécution de sa peine ( ATF 139 II 121 consid. 5.5.2 p. 128). Ainsi, on ne saurait déduire de son comportement depuis sa dernière condamnation qu'il ne présente plus un risque de récidive. Il faut bien plus tenir compte de la culpabilité du recourant, en particulier du fait qu'il n'ait pas su tirer les conséquences de ses actes en commettant de nouvelles infractions alors qu'il avait été condamné déjà à deux reprises à de lourdes peines d'emprisonnement. A cela s'ajoute que le recourant a commis des infractions graves envers lesquelles les autorités se montrent particulièrement rigoureuses. Par conséquent, il ne saurait être question de relativiser à ce point ses agissements et ne pas admettre un risque de récidive concret. L'âge du recourant lors de la commission de l'infraction n'est pas non plus pertinent pour apprécier le risque de récidive (cf. TF 2C_991/2017 du 1 er février 2018 consid. 5.3). Enfin, sans toutefois que cela soit déterminant, il convient de relever qu'une nouvelle enquête pénale a été ouverte contre le recourant par le Ministère public du Nord vaudois pour agression et injure. Pour ces motifs, la révocation de l'autorisation d'établissement du recourant est une mesure qui respecte les conditions posées par l' art. 5 Annexe I ALCP , celui-ci présentant encore actuellement une menace suffisamment grave pour l'ordre et la sécurité publics.</w:t>
      </w:r>
    </w:p>
    <w:p>
      <w:r>
        <w:rPr>
          <w:b/>
        </w:rPr>
        <w:t>E. 4</w:t>
      </w:r>
    </w:p>
    <w:p>
      <w:r>
        <w:t>Le recourant invoque une violation du principe de la proportionnalité ainsi que de l'art. 8 de la Convention du 4 novembre 1950 pour la sauvegarde des droits de l'homme et des libertés fondamentales (CEDH; RS 0.101). a) Sous l'angle de la protection de la vie familiale, l'art. 8 par. 1 CEDH ne protège en principe que les relations entre époux ainsi qu'entre parents et enfants mineurs vivant ensemble (cf. ATF 135 I 143 consid. 1.3.2); un étranger majeur ne peut se prévaloir d'une telle protection que s'il se trouve dans un état de dépendance particulier par rapport à un parent établi en Suisse en raison par exemple d'un handicap (physique ou mental) ou d'une maladie grave (ATF 129 II 11 consid. 2). b) Né en Suisse, le recourant peut se prévaloir de l'art. 8 CEDH sous l'angle de sa vie privée (cf. ATF 139 I 16 consid. 2.2.2 p. 20 s.; TF 2C_365/2017 du 7 décembre 2017 consid. 6.2; 2C_811/2017 du 16 novembre 2017 consid. 8.1; 2C_419/2014 du 13 janvier 2015 consid. 4.2). Son droit à résider en Suisse peut cependant être restreint en application de l'art. 8 par. 2 CEDH; à cet égard, l'examen sous l'angle de cet article se confond avec celui imposé par l'art. 96 LEtr (cette dernière disposition étant également applicable au domaine régi par l'ALCP; TF 2C_560/2016 du 6 octobre 2016 consid. 2.4 et références) et suppose une pesée de tous les intérêts en présence ( ATF 139 I 16 consid. 2.2.2 p. 20; 135 II 377 consid. 4.3 p. 381). 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Lorsque la mesure de révocation est prononcée en raison de la commission d'une infraction, la peine infligée par le juge pénal est le premier critère à utiliser pour évaluer la gravité de la faute et pour procéder à la pesée des intérêts ( ATF 139 I 16 consid. 2.2.1 p. 19; 135 II 377 consid. 4.3 p. 381; 134 II 10 consid. 4.2 p. 23). La durée de séjour en Suisse d'un étranger constitue un autre critère très important. Plus cette durée est longue, plus les conditions pour mettre fin au séjour en Suisse doivent être appréciées restrictivement (cf. ATF 135 II 377 consid.</w:t>
      </w:r>
    </w:p>
    <w:p>
      <w:r>
        <w:rPr>
          <w:b/>
        </w:rPr>
        <w:t>E. 4.4</w:t>
      </w:r>
    </w:p>
    <w:p>
      <w:r>
        <w:t>et 4.5 p. 382 s.).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(TF 2C_27/2017 du 7 septembre 2017 consid. 4.1; 2C_974/2015 du 5 avril 2016 consid. 3.1 et les références citées). Pour les étrangers issus de la deuxième génération qui ont commis plusieurs infractions, mais pour qui les condamnations n'ont pas (encore) constitué un cas de révocation,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LEtr; cf. TF 2C_27/2017 du 7 septembre 2017 consid. 4.1; 2C_94/2016 du 2 novembre 2016 consid. 3.4 et référence). b) En l'espèce, le recourant est âgé de 23 ans, célibataire et sans enfant, de sorte qu'il ne peut tirer de droit de ses relations familiales pour demeurer en Suisse sous l'angle de la protection de la vie familiale garantie par l'art. 8 par. 1 CEDH. Il ne soutient par ailleurs pas se trouver dans un état de dépendance particulier avec un des membres de sa famille se trouvant en Suisse. Sous réserve de circonstances particulières, les concubins ne sont donc pas habilités à invoquer l' art.</w:t>
      </w:r>
    </w:p>
    <w:p>
      <w:r>
        <w:rPr>
          <w:b/>
        </w:rPr>
        <w:t>E. 8</w:t>
      </w:r>
    </w:p>
    <w:p>
      <w:r>
        <w:t>par. 2 CEDH en faisant primer l'intérêt public à éloigner le recourant sur l'intérêt privé de celui-ci à pouvoir vivre en Suisse. Cette solution, qui peut paraître sévère pour le recourant né en Suisse, se justifie actuellement au regard du risque de récidive qu'il présente encore aujourd'hui, vu le faible écoulement du temps depuis les dernières infractions commises. Elle correspond en outre à la volonté du législateur suisse d'appliquer une politique migratoire restrictive et de n'accorder un titre de séjour en principe qu'à des étrangers qui respectent la loi. Cela étant, l'écoulement du temps (cinq ans à partir du moment où l'étranger quitte la Suisse, cf. TF 2C_1224/2013 du 12 décembre 2014 consid. 5.1.2) conjugué avec un comportement correct du recourant pourra éventuellement conduire une autorité à réexaminer sa décision dans le futur. 5. Le recours doit en conséquence être rejeté et la décision attaquée confirmée. a) Les frais de justice, arrêtés à 600 fr. (art. 4 al. 1 du tarif du 28 avril 2015 des frais judiciaires et des dépens en matière administrative – TFJDA; RSV 173.36.5.1), devraient en principe être supportés par le recourant qui succombe (art. 49 al. 1, 91 et 99 LPA-VD). Toutefois, dès lors que ce dernier a été mis au bénéfice de l'assistance judiciaire par décision du 19 janvier 2018, ces frais seront laissés à la charge de l'Etat (art. 122 al. 1 let. b du code de procédure civile du 19 décembre 2008 [CPC; RS 272], applicable par renvoi de l'art. 18 al. 5 LPA-VD). Vu l'issue du litige, il n'y a pas lieu d'allouer d'indemnité à titre de dépens (art. 55 al. 1, 91 et 99 LPA-VD). b)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Me Loïc Parein a produit une liste de ses opérations pour l'année 2017 et une autre pour 2018 ainsi qu'une note de débours. Le nombre d'heures figurant sur celle de 2017, soit 5h05, pour un total de 915 fr., apparaît raisonnable. Il a en outre chiffré le montant de ses débours pour l'année 2017 à 21 fr. 40 (hors TVA). L'indemnité de conseil d'office sera en conséquence arrêtée, pour l'année 2017, à un montant de 1'011 fr. 30, correspondant à 915 fr. d'honoraires, 21 fr. 40 de débours et 74 fr. 90 de TVA (8%). Il en va de même pour les opérations de 2018 (d'une durée totale d'1h06, soit un montant de 198 fr.) et les débours de cette même année (12 fr. 20) auxquels il convient d'ajouter un montant de 16 fr. 20 pour la TVA (7,7%). Le montant dû pour l'année 2018 sera de 226 fr. 40. L'indemnité totale dévolue à Me Loic Parein s'élève dès lors à 1'237 fr. 70.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