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PE.2017.0508 vom 4. Juni 2018</w:t>
      </w:r>
    </w:p>
    <w:p>
      <w:r>
        <w:t>VD Tribunal cantonal, 2018-06-04, FR</w:t>
      </w:r>
    </w:p>
    <w:p>
      <w:r>
        <w:rPr>
          <w:b/>
        </w:rPr>
        <w:t xml:space="preserve">Quelle: </w:t>
      </w:r>
      <w:r>
        <w:t>https://mcp.opencaselaw.ch/entscheid/vd_omni_PE.2017.0508</w:t>
      </w:r>
    </w:p>
    <w:p>
      <w:r>
        <w:t>FR: VD_OMNI PE.2017.0508 du 4 juin 2018</w:t>
      </w:r>
    </w:p>
    <w:p>
      <w:r>
        <w:t>IT: VD_OMNI PE.2017.0508 del 4 giugno 2018</w:t>
      </w:r>
    </w:p>
    <w:p>
      <w:pPr>
        <w:pStyle w:val="Heading2"/>
      </w:pPr>
      <w:r>
        <w:t>Regeste</w:t>
      </w:r>
    </w:p>
    <w:p>
      <w:r>
        <w:t>A.________ /Service de la population (SPOP) | Refus d'autoriser la recourante, âgée de trente-trois ans, disposant déjà d'une formation universitaire complète, dispensée dans son pays d'orgigine et qui a abouti à la délivrance de deux diplômes (en technologies en laboratoires scientifiques et en biologie et microbiologie), et qui a intégré le marché du travail de son pays pendant de nombreuses années, à entreprendre un MBA en Suisse. Cette formation constitue une nouvelle orientation professionnelle et la demande ne bénéficie ainsi d'aucune priorité au regard de celles de jeunes étudiants désireux d'acquérir une première formation en Suisse. Recours rejeté.</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nigérienne, la recourante ne peut invoquer aucun traité en sa faveur; le recours s'examine ainsi uniquement au regard du droit interne, soit la loi fédérale du 16 décembre 2005 sur les étrangers (LEtr; RS 142.20) et ses ordonnances d’application.</w:t>
      </w:r>
    </w:p>
    <w:p>
      <w:r>
        <w:rPr>
          <w:b/>
        </w:rPr>
        <w:t>E. 3</w:t>
      </w:r>
    </w:p>
    <w:p>
      <w:r>
        <w:t>La recourante a requis l'audition du directeur du SIHM pour qu'il apporte toutes les explications utiles concernant la reconnaissance de son école au sens de l'art. 24 l'ordonnance du 24 octobre 2007 relative à l’admission, au séjour et à l’exercice d’une activité lucrative (OASA; RS 142.201) , l'inscription de la recourante dans son école et l'acquittement par l'intéressée des frais requis à ce stade.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pour entendre un témoin.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en se dispensant de donner suite à la réquisition d’instruction formulée par la recourante.</w:t>
      </w:r>
    </w:p>
    <w:p>
      <w:r>
        <w:rPr>
          <w:b/>
        </w:rPr>
        <w:t>E. 4</w:t>
      </w:r>
    </w:p>
    <w:p>
      <w:r>
        <w:t>Les autorisations de séjour pour études sont régies par l'art. 27 LEtr. En application de l'art. 27 al. 1 LEtr, dans sa teneur en vigueur depuis le 1 er janvier 2011, un étranger peut être admis en vue d'une formation ou d'un perfectionnement aux conditions suivantes: «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la formation continue prévues » . Il est à noter que le contenu de cette disposition a été modifié sur le plan sémantique puisqu’à compter du 1 er janvier 2017, soit à l’entrée en vigueur de la loi fédérale du 20 juin 2014 sur la formation continue (LFCo; RS 419.1), le terme de «perfectionnement» a été remplacé par celui de «formation continue» . a)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du Tribunal fédéral 2D_64/2014 du 2 avril 2015; 2D_28/2009 du 12 mai 2009 et le Message du Conseil fédéral précité, in: FF 2002 3485, ch. 1.2.3). Les autorités disposent donc d'un très large pouvoir d'appréciation dans le cadre de la présente cause et ne sont par conséquent pas limitées au cadre légal défini par l’art. 27 LEtr.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LEtr; v. arrêt du Tribunal administratif fédéral [ATAF] F-1677/2016 du 6 décembre 2016 consid. 7.1, réf. citée). b) A cet égard, selon une pratique constante, la priorité est donnée aux jeunes étudiants désireux d'acquérir une première formation en Suisse (cf. notamment, ATAF F-2442/2016 du 16 décembre 2016 consid. 7.7; C-5436/2015 du 29 juin 2016 consid. 7.3 et la référence citée).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ATAF C-6702/2011 du 14 février 2013 consid. 7.2.2 et les références citées). Une formation ou un perfectionnement sont en principe admis pour une durée maximale de huit ans. Des dérogations peuvent être accordées en vue d'une formation ou d'un perfectionnement visant un but précis. Par ailleurs, sous réserve de circonstances particulières, les personnes de plus de trente ans ne peuvent en principe se voir attribuer une autorisation de séjour pour se former ou se perfectionner; il est préférable de privilégier en premier lieu les jeunes étudiants qui ont un intérêt plus immédiat à obtenir une formation de base. Les exceptions doivent être suffisamment motivées (cf. D irectives du Secrétariat d'Etat aux migrations [Domaine des étrangers, Directives et circulaires], état au 3 juillet 2017 [ci-après: Directives LEtr], ch. 5.1.2). Le critère de l'âge est ainsi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 arrêts PE.2011.0382 du 17 décembre 2012; PE.2011.0112 du 3 janvier 2012).</w:t>
      </w:r>
    </w:p>
    <w:p>
      <w:r>
        <w:rPr>
          <w:b/>
        </w:rPr>
        <w:t>E. 5</w:t>
      </w:r>
    </w:p>
    <w:p>
      <w:r>
        <w:t>En la présente espèce, le Tribunal fait, à la lumière de ce qui précède, plusieurs constatations, dont il ressort que l’autorité intimée n’a pas abusé de son pouvoir d’appréciation en refusant de délivrer les autorisations requises. a) La recourante était âgée de trente-trois ans au moment de sa demande. Or elle bénéficie déjà d’une formation universitaire complète, dispensée dans son pays d’origine et qui a abouti à la délivrance de deux diplômes, respectivement en technologies en laboratoires scientifiques, diplôme obtenu en 2005 auprès de L'Ecole polytechnique fédérale Akabu Ibiam, à Uwana (Nigéria), et en biologie et microbiologie, diplôme obtenu en 2008 auprès du même établissement. La recourante a en outre intégré le marché du travail pendant de nombreuses années puisqu’elle a travaillé dans son pays depuis 2005, notamment en qualité de directrice et technicienne en laboratoire de 2010 à 2015 (SUMS Laboratory). Depuis cette date, elle a été provisoirement sans emploi puis a été engagée, en février 2017, auprès de la société ********, au Nigéria. Il s'agit d'une société dont le but est la construction et la gestion d'hôtels au Nigéria et qui exploite divers hôtels dans ce pays. La recourante soutient en outre que ce nouvel employeur – dont le directeur général serait son oncle - a décidé de l'envoyer dans notre pays afin d'y effectuer un MBA, par souci d'efficacité dans son futur nouvel emploi, qui consisterait en la gestion de l'un des plus grands et plus luxueux hôtels que la société ******** est en train de construire à Engu. Pour cette dernière, avoir une employée qualifiée pour diriger cet hôtel serait d'autant plus important que le directeur général se trouve souvent en déplacement, pour les besoins de l'entreprise. Ces objectifs sont certes dignes d'intérêt, mais force est néanmoins de constater que la formation litigieuse ne constitue en l'occurrence nullement un prolongement direct de la formation de base antérieurement acquise par la recourante. Bien au contraire, il s'agit d'une nouvelle orientation professionnelle. Du reste, la recourante déclare elle-même, comme exposé ci-dessus, avoir décidé de réorienter sa carrière professionnelle vers un autre domaine que celui de sa formation de base. Par conséquent, comme l’a estimé à juste titre l’autorité intimée, la demande de l’intéressée ne bénéficie d’aucune priorité au regard de celles de jeunes étudiants étrangers désireux d'acquérir une première formation en Suisse. c) L’autorité intimée retient également que l'on peut douter de l'existence des moyens financiers nécessaires de la recourante pour effectuer son séjour en Suisse, apparemment d'une durée envisagée de deux ans. Les frais scolaires se montent à CHF 28'000.- par année; CHF 12'500.- ont déjà été versés (soit écolage offert de CHF 7'500.- et acompte de CHF 5'000.-) pour la première année, ce qui laisse un solde de CHF 15'500.-. Il est vrai que ******** a confirmé dans une attestation datée du 28 novembre 2017 qu'elle s'engageait à prendre en charge tous les frais de la recourante pendant sa formation en Suisse. Cependant, ce document, qui n'est qu'une simple photocopie, n'a pas été authentifié et ne paraît pas, à première vue, d'une valeur probante suffisante. Quoi qu'il en soit, le refus litigieux s'avérant déjà bien-fondé pour les raisons exposées ci-dessus, cette question souffre de demeurer indécise.</w:t>
      </w:r>
    </w:p>
    <w:p>
      <w:r>
        <w:rPr>
          <w:b/>
        </w:rPr>
        <w:t>E. 6</w:t>
      </w:r>
    </w:p>
    <w:p>
      <w:r>
        <w:t>Il suit de ce qui précède que le recours ne peut qu’être rejeté et la décision attaquée, confirmée. Les frais d’arrêt sont mis à la charge de la recourante,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