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PE.2017.0498 vom 13. Dezember 2017</w:t>
      </w:r>
    </w:p>
    <w:p>
      <w:r>
        <w:t>VD Tribunal cantonal, 2017-12-13, FR</w:t>
      </w:r>
    </w:p>
    <w:p>
      <w:r>
        <w:rPr>
          <w:b/>
        </w:rPr>
        <w:t xml:space="preserve">Quelle: </w:t>
      </w:r>
      <w:r>
        <w:t>https://mcp.opencaselaw.ch/entscheid/vd_omni_PE.2017.0498</w:t>
      </w:r>
    </w:p>
    <w:p>
      <w:r>
        <w:t>FR: VD_OMNI PE.2017.0498 du 13 décembre 2017</w:t>
      </w:r>
    </w:p>
    <w:p>
      <w:r>
        <w:t>IT: VD_OMNI PE.2017.0498 del 13 dicembre 2017</w:t>
      </w:r>
    </w:p>
    <w:p>
      <w:pPr>
        <w:pStyle w:val="Heading2"/>
      </w:pPr>
      <w:r>
        <w:t>Regeste</w:t>
      </w:r>
    </w:p>
    <w:p>
      <w:r>
        <w:t>A.________, B.________/Service de la population (SPOP) | Rejet du recours contre la décision du SPOP ordonnant l'assignation à résidence de la recourante dans un centre EVAM tous les jours entre 22h et 7h pour une durée de deux mois. Constat que cette mesure de contrainte rendue à l'encontre de la recourante, qui a refusé de quitter la Suisse après l'arrêt du TAF confirmant la non entrée en matière sur sa demande d'asile et son renvoi en Grèce, ne viole pas le droit fédéral.</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Il peut être statué sans frais (art. 50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