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PE.2017.0453 vom 26. Februar 2018</w:t>
      </w:r>
    </w:p>
    <w:p>
      <w:r>
        <w:t>VD Tribunal cantonal, 2018-02-26, FR</w:t>
      </w:r>
    </w:p>
    <w:p>
      <w:r>
        <w:rPr>
          <w:b/>
        </w:rPr>
        <w:t xml:space="preserve">Quelle: </w:t>
      </w:r>
      <w:r>
        <w:t>https://mcp.opencaselaw.ch/entscheid/vd_omni_PE.2017.0453</w:t>
      </w:r>
    </w:p>
    <w:p>
      <w:r>
        <w:t>FR: VD_OMNI PE.2017.0453 du 26 février 2018</w:t>
      </w:r>
    </w:p>
    <w:p>
      <w:r>
        <w:t>IT: VD_OMNI PE.2017.0453 del 26 febbraio 2018</w:t>
      </w:r>
    </w:p>
    <w:p>
      <w:pPr>
        <w:pStyle w:val="Heading2"/>
      </w:pPr>
      <w:r>
        <w:t>Regeste</w:t>
      </w:r>
    </w:p>
    <w:p>
      <w:r>
        <w:t>A.________, B.________, C.________, D.________/Service de la population (SPOP) | Recours d'une famille de ressortissants de Bosnie-et-Herzégovine contre la décision du SPOP refusant de transformer l'admission provisoire (livret F) dont ils bénéficient en autorisation de séjour (permis B). De jurisprudence constante, la dépendance à l'assistance publique fait obstacle à toute transformation d'un livret F en permis B. En l'espèce, l'autonomie financière et l'intégration sociale des recourants sont trop récentes pour considérer que les exigences restrictives de l'art. 84 al. 5 LEI en relation avec les art. 30 al. 1 let. b LEI et 31 OASA sont remplies. La décision attaquée est dès lors confirmée et le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l'autorité intimée de transformer l'admission provisoire (livret F) des recourants en autorisation de séjour (permis B). a) Aux termes de l'art. 84 al. 5 de la loi fédérale sur les étrangers du 16 décembre 2005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arrêt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cité notamment in : PE.2015.0411 du 9 mars 2016 consid. 2a). L'art. 31 al. 1 de l'ordonnance relative à l'admission, au séjour et à l'exercice d'une activité lucrative du 24 octobre 2007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PE.2016.0108 du 13 février 2017 consid. 3c). Il y a lieu de se fonder sur les relations familiales de l'intéressé en Suisse et dans sa patrie, sur son état de santé, sur sa situation professionnelle, sur son intégration sociale, etc.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A cet égard, les relations de travail, d'amitié ou de voisinage que le requérant a pu nouer pendant son séjour ne constituent normalement pas des liens si étroits avec la Suisse qu'ils justifieraient à eux seuls l'octroi d'une autorisation de séjour.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PE.2016.0108 du 13 février 2017 consid. 3c et les arrêts cités). b) Une autorisation de séjour ne peut être octroyée en présence d'un motif de révocation d'une autorisation (PE.2014.0412 du 3 décembre 2014). En particulier, l'art. 62 let. e LEtr permet à l'autorité compétente de révoquer une autorisation de séjour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De jurisprudence constante, l'ancien Tribunal administratif puis la Cour de droit administratif et public ont considéré que la dépendance à l'assistance publique faisait obstacle à toute transformation d'un permis F en permis B (arrêts PE.2013.0114 du 9 septembre 2013 consid. 4d; PE.2011.0397 du 10 juillet 2012). Dans ce cadre, il a notamment été relevé que la détention d'un permis F n'était pas un obstacle en soi à une intégration professionnelle en Suisse et que le titulaire du permis F ne saurait pas conséquent prétendre à l'octroi d'un permis B au seul motif qu'il éprouve des difficultés à trouver du travail (PE.2013.0114 cité consid. 4d; PE.2011.0038 du</w:t>
      </w:r>
    </w:p>
    <w:p>
      <w:r>
        <w:rPr>
          <w:b/>
        </w:rPr>
        <w:t>E. 4</w:t>
      </w:r>
    </w:p>
    <w:p>
      <w:r>
        <w:t>Les considérants qui précèdent conduisent au rejet du recours et à la confirmation de la décision attaquée. Vu la situation financière des recourants, le présent arrêt sera rendu sans frais; les recourants n'ont pas droit à des dépens (art. 49 al. 1, 50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