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PE.2017.0430 vom 24. August 2018</w:t>
      </w:r>
    </w:p>
    <w:p>
      <w:r>
        <w:t>VD Tribunal cantonal, 2018-08-24, FR</w:t>
      </w:r>
    </w:p>
    <w:p>
      <w:r>
        <w:rPr>
          <w:b/>
        </w:rPr>
        <w:t xml:space="preserve">Quelle: </w:t>
      </w:r>
      <w:r>
        <w:t>https://mcp.opencaselaw.ch/entscheid/vd_omni_PE.2017.0430</w:t>
      </w:r>
    </w:p>
    <w:p>
      <w:r>
        <w:t>FR: VD_OMNI PE.2017.0430 du 24 août 2018</w:t>
      </w:r>
    </w:p>
    <w:p>
      <w:r>
        <w:t>IT: VD_OMNI PE.2017.0430 del 24 agosto 2018</w:t>
      </w:r>
    </w:p>
    <w:p>
      <w:pPr>
        <w:pStyle w:val="Heading2"/>
      </w:pPr>
      <w:r>
        <w:t>Regeste</w:t>
      </w:r>
    </w:p>
    <w:p>
      <w:r>
        <w:t>A.________/Service de la population (SPOP) | Confirmation du refus de transformer l’autorisation de séjour en autorisation d’établissement à titre anticipé, au motif que le recourant a bénéficié des prestations du revenu d'insertion.</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[Letr].</w:t>
      </w:r>
    </w:p>
    <w:p>
      <w:r>
        <w:rPr>
          <w:b/>
        </w:rPr>
        <w:t>E. 3</w:t>
      </w:r>
    </w:p>
    <w:p>
      <w:r>
        <w:t>L'autorisation d'établissement peut être octroyée au terme d'un séjour plus court si des raisons majeures le justifient.</w:t>
      </w:r>
    </w:p>
    <w:p>
      <w:r>
        <w:rPr>
          <w:b/>
        </w:rPr>
        <w:t>E. 4</w:t>
      </w:r>
    </w:p>
    <w:p>
      <w:r>
        <w:t>Il résulte des considérants que le recours doit être rejeté et la décision attaquée maintenue. Les frais de justice devraient en principe être supportés par le recourant, qui succombe (art. 49 LPA-VD). Dès lors toutefois que ce dernier a été mis au bénéfice de l’assistance judiciaire, ces frais seront laissés à la charge de l’Etat (art. 122 al. 1 let. b du Code de procédure civile du 19 décembre 2008 – CPC ; RS 272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