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PE.2017.0400 vom 9. Januar 2018</w:t>
      </w:r>
    </w:p>
    <w:p>
      <w:r>
        <w:t>VD Tribunal cantonal, 2018-01-09, FR</w:t>
      </w:r>
    </w:p>
    <w:p>
      <w:r>
        <w:rPr>
          <w:b/>
        </w:rPr>
        <w:t xml:space="preserve">Quelle: </w:t>
      </w:r>
      <w:r>
        <w:t>https://mcp.opencaselaw.ch/entscheid/vd_omni_PE.2017.0400</w:t>
      </w:r>
    </w:p>
    <w:p>
      <w:r>
        <w:t>FR: VD_OMNI PE.2017.0400 du 9 janvier 2018</w:t>
      </w:r>
    </w:p>
    <w:p>
      <w:r>
        <w:t>IT: VD_OMNI PE.2017.0400 del 9 gennaio 2018</w:t>
      </w:r>
    </w:p>
    <w:p>
      <w:pPr>
        <w:pStyle w:val="Heading2"/>
      </w:pPr>
      <w:r>
        <w:t>Regeste</w:t>
      </w:r>
    </w:p>
    <w:p>
      <w:r>
        <w:t>A.________ /Service de la population (SPOP) | Confirmation du refus d'une autorisation de séjour, réclamée par une ressortissante kosovare et ses trois enfants issus de son mariage avec un compatriote titulaire d'une autorisation d'établissement délivrée par le canton du Valais. Entrée en Suisse illégalement à une date indéterminée, l'intéressée a contracté le mariage précité il y a cinq ans, alors que l'époux avait déjà été condamné à 30 mois de peine privative de liberté. Depuis, de multiples décisions de refus de changement de canton, de refus d'autorisation de séjour et de renvoi ont été rendues par le SPOP et son homologue valaisan. Après avoir été placé en détention administrative en Valais, l'époux a quitté la Suisse pour le Kosovo. Dans la présente procédure, la recourante se prétend en vain dans un cas de rigueur: elle n'a jamais bénéficié d'autorisation de séjour, elle affirme sans aucune pièce qu'elle aurait demandé le divorce et ses enfants sont encore suffisamment jeunes pour se réadapter au Kosovo, où elles retrouveront leur père. Recours rejeté au Tribunal fédéral, dans la mesure où il est recevable (2D_7/2018 du 4 avril 2018).</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si bien qu'il y a lieu d'entrer en matière sur le fond.</w:t>
      </w:r>
    </w:p>
    <w:p>
      <w:r>
        <w:rPr>
          <w:b/>
        </w:rPr>
        <w:t>E. 2</w:t>
      </w:r>
    </w:p>
    <w:p>
      <w:r>
        <w:t>Le dossier de la cause étant suffisamment complet pour permettre à la Cour de céans de statuer en toute connaissance de cause, les auditions requises par la recourante s'avèrent superflues. Il n'en résulte pas de violation du droit d'être entendue de l'intéressée (cf. ATF 140 I 285 consid. 6.3.1 et les références).</w:t>
      </w:r>
    </w:p>
    <w:p>
      <w:r>
        <w:rPr>
          <w:b/>
        </w:rPr>
        <w:t>E. 3</w:t>
      </w:r>
    </w:p>
    <w:p>
      <w:r>
        <w:t>Le litige porte sur le refus de l'autorité intimée de délivrer une autorisation de séjour à la recourante et à ses trois enfants mineures, toutes de nationalité kosovare.</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al. 1, la loi fédérale du 16 décembre 2005 sur les étrangers (LEtr; RS 142.20) s'applique aux étrangers dans la mesure où leur statut juridique n'est pas réglé par d'autres dispositions du droit fédéral ou par des traités internationaux conclus par la Suisse. b) En l'espèce, la recourante et ses filles étant ressortissantes du Kosovo, soit d'un Etat tiers, elles ne sauraient se prévaloir de l'accord du 21 juin 1999 entre la Confédération suisse, d'une part, et la Communauté européenne et ses Etats membres, d'autre part, sur la libre circulation des personnes (ALCP; RS 0.142.112.681), ni d'un autre traité. Elles sont par conséquent soumises aux dispositions de la LEtr.</w:t>
      </w:r>
    </w:p>
    <w:p>
      <w:r>
        <w:rPr>
          <w:b/>
        </w:rPr>
        <w:t>E. 5</w:t>
      </w:r>
    </w:p>
    <w:p>
      <w:r>
        <w:t>La recourante sollicite la délivrance d'une autorisation de séjour en sa faveur et celle de ses enfants pour cas de rigueur au sens l'art. 30 al. 1 let. b LEtr. a) Aux termes de cette disposition, il est possible de déroger aux conditions d'admission (art. 18 à 29 LEtr) dans le but notamment de tenir compte des cas individuels d'une extrême gravité.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ATF 137 II 345 consid. 3.2.1). Les autorités disposent donc d'un large pouvoir d'appréciation dans le cadre de la présente cause. L'art. 31 de l'ordonnance du 24 octobre 2007 relative à l’admission, au séjour et à l’exercice d’une activité lucrative (OASA; RS 142.201),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constitue une disposition dérogatoire présentant un caractère exceptionnel. Aussi, conformément à la jurisprudence constante du Tribunal fédéral,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128 II 200 consid. 4 et les références; cf. également CDAP PE.2016.0053 du 21 juin 2017 consid. 3a et les références).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(cf. ATF 130 II 39 consid. 3; ATF 128 II 200 consid. 4; CDAP PE.2015.0135 du 11 janvier 2016 consid. 4a et les références). b) D'une manière générale, la jurisprudence considère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TAF F-7044/2014 du 19 juillet 2016 consid. 5.6.1 et les références). Cette pratique différenciée réalise la prise en compte de l'intérêt supérieur de l'enfant, telle qu'elle est prescrite par l'art. 3 al. 1 de la Convention relative aux droits de l'enfant du 20 novembre 1989 (CDE; RS 0.107), convention entrée en vigueur pour la Suisse le 26 mars 1997 (cf. TF 2A.679/2006 du 9 février 2007 consid. 3; TAF C-301/2014 du 8 juin 2015 consid. 5.2; CDAP PE.2016.0053 du 21 juin 2017 consid. 3b et les références). A titre exemplatif,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Un cas de rigueur n’a pas non plus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ATF 123 II 125 consid. 4; CDAP PE.2016.0053 du 21 juin 2017 consid. 3b et les références). c) En l'espèce, la recourante, aujourd'hui âgée de vingt-neuf ans, soutient qu'elle a vécu en Suisse une première fois du 25 novembre 1990 au 11 décembre 1993, puis à nouveau depuis l'été 2007 jusqu'à ce jour, soit pendant treize années au total. Au vu des déclarations communales de résidence produites à l'appui du recours, il s'avère en effet que l'intéressée était domiciliée au Tessin pendant trois ans dans le cadre d'une procédure d'asile, alors qu'elle était enfant. Ces faits remontent toutefois à l'époque où elle avait entre deux et cinq ans seulement, si bien qu'ils n'auront pas fondé de liens particuliers avec son pays d'accueil. Quant à la date alléguée de son retour, en 2007, elle n'est pas clairement définie, puisque les premiers documents au dossier datent de 2011. Le seul témoignage écrit de son cousin, rédigé a posteriori pour les besoins de la procédure, ne suffit pas à ébranler ce constat. Quoi qu'il en soit, ce deuxième séjour en Suisse n'a jamais été légitimé par la délivrance d'un titre de séjour quelconque, toutes les demandes de la recourante dans ce sens ayant été rejetées par les autorités compétentes. Or, il découle de la jurisprudence précitée que les séjours illégaux en Suisse n'ont pas à être pris en compte dans l'examen d'un cas de rigueur (cf. consid. 5a supra). Il s'ensuit que le long séjour dont se prévaut la recourante doit être fortement relativisé. S'agissant de l'intégration dans notre pays, il est vrai qu'il peut difficilement être reproché à la recourante de n'avoir pas exercé d'activité professionnelle jusqu'à présent, puisqu'elle était dépourvue de permis de travail. Celle-ci dispose d'ailleurs d'une promesse d'engagement comme serveuse à 80%, conditionnée à la délivrance d'un tel permis. Hormis sa connaissance de la langue française et l'appui de quelques personnes de son entourage, l'intéressée ne peut toutefois se targuer d'une intégration réussie, quoi qu'elle en dise. En particulier, il paraît pour le moins impudent de soutenir, comme elle le fait, qu'elle se trouve "en parfaite situation légale", qu'elle a "toujours respecté l'ordre juridique de notre pays", que sa "situation financière est saine" et qu'elle n'a rien à se reprocher si ce n'est d'avoir épousé le mauvais parti, lorsque l'on sait qu'elle vit en Suisse en toute illégalité depuis son arrivée, qu'elle a fait l'objet de trois décisions de renvoi (sans compter la présente procédure), confirmées par les autorités de recours, qu'elle n'a jamais honorées, qu'elle émarge à l'aide d'urgence depuis le mois d'avril 2017 et qu'elle ne pouvait ignorer le passé pénal de son époux, après cinq ans de mariage conclu postérieurement à l'entrée en force du jugement condamnant celui-ci à 30 mois de peine privative de liberté. Certes, la recourante soutient qu'elle entend demander le divorce; elle ne produit toutefois aucun élément propre à démontrer qu'elle aurait engagé quelque démarche que ce soit dans ce sens. Elle n'a du reste aucun membre de sa famille proche en Suisse, à l'exception de ses filles mineures. Dans ces conditions, un retour au Kosovo paraît pleinement exigible pour la recourante, qui n'a nulle attache personnelle, professionnelle ou sociale en Suisse, qui est en bonne santé de son propre aveu et dont le statut de mère seule ne sera pas différent de celui des autres femmes restées au pays qui se trouvent dans la même situation domestique. Il en va pareillement des filles de la recourante, quand bien même toutes trois sont nées en Suisse. En effet, elles ne sont âgées respectivement que de six ans, quatre ans et onze mois, de sorte qu'elles dépendent plus largement du cocon familial que de leur environnement social, même si l'aînée a récemment commencé l'école. A l'instar de leur mère dans sa jeunesse, elles n'auront donc pas encore eu la possibilité de tisser des liens particulièrement forts avec notre pays. Toutes en bonne santé également, elles pourront ainsi la suivre sans difficulté particulière au Kosovo, où elles devraient d'ailleurs retrouver leur père. d) Compte tenu de l'ensemble de ces circonstances, il sied d'admettre, avec l'autorité intimée, que la recourante et ses filles ne se trouvent pas dans un cas individuel d'une extrême gravité au sens de l'art. 30 al. 1 let. b LEtr qui imposerait la poursuite de leur séjour en Suisse. Il s'ensuit que la décision attaquée, qui ne procède ni d’une violation du droit ni d’un abus du pouvoir d’appréciation, ne prête pas le flanc à la critique.</w:t>
      </w:r>
    </w:p>
    <w:p>
      <w:r>
        <w:rPr>
          <w:b/>
        </w:rPr>
        <w:t>E. 6</w:t>
      </w:r>
    </w:p>
    <w:p>
      <w:r>
        <w:t>En définitive, le recours, mal fondé, doit être rejeté et la décision attaquée confirmée. Succombant, la recourante n'a pas droit à des dépens (cf. art. 55 al. 1 a contrario LPA-VD). Au vu des circonstances, il est renoncé à percevoir un émolument judiciaire (cf. art. 50 LPA-VD). Le SPOP est chargé de fixer un nouveau délai de départ aux intéressées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