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PE.2017.0301 vom 21. August 2017</w:t>
      </w:r>
    </w:p>
    <w:p>
      <w:r>
        <w:t>VD Tribunal cantonal, 2017-08-21, FR</w:t>
      </w:r>
    </w:p>
    <w:p>
      <w:r>
        <w:rPr>
          <w:b/>
        </w:rPr>
        <w:t xml:space="preserve">Quelle: </w:t>
      </w:r>
      <w:r>
        <w:t>https://mcp.opencaselaw.ch/entscheid/vd_omni_PE.2017.0301</w:t>
      </w:r>
    </w:p>
    <w:p>
      <w:r>
        <w:t>FR: VD_OMNI PE.2017.0301 du 21 août 2017</w:t>
      </w:r>
    </w:p>
    <w:p>
      <w:r>
        <w:t>IT: VD_OMNI PE.2017.0301 del 21 agosto 2017</w:t>
      </w:r>
    </w:p>
    <w:p>
      <w:pPr>
        <w:pStyle w:val="Heading2"/>
      </w:pPr>
      <w:r>
        <w:t>Regeste</w:t>
      </w:r>
    </w:p>
    <w:p>
      <w:r>
        <w:t>A.________/Service de la population (SPOP) | Recours contre le rejet d'une troisième demande de réexamen d'une décision du SPOP refusant l'autorisation de séjour et prononçant le renvoi de la recourante et de son fils. Rejet des requêtes d'audition de six personnes car non déterminantes quant à l'issue du litige. En leurs lieu et place, la recourante pouvait spontanément produire des déclarations écrites, dont l'une figurait déjà au dossier d'une précédente procédure (consid. 2). La conclusion de la recourante tendant au renvoi au SEM, dans la perspective de l'examen d'une admission provisoire, sort de l'objet du litige, le SPOP ne s'étant pas prononcé sur cette question (consid. 3). Les moyens de preuves nouveaux dont se prévaut la recourante sont tardifs, de sorte que c'est à bon droit que le SPOP a refusé de réexaminer sa décision. S'agissant des lettres de menaces de son ex-époux, la recourante n'a sollicité aucune protection en Suisse. Sa situation, notamment médicale, déjà examinée lors de précédentes procédures, n'a pas notablement évolué depuis la décision de refus prononçant le renvoi (consid. 5). Recours manifestement mal fondé (cf. art. 82 LPA-VD), rejeté dans la mesure de sa recevabilité.</w:t>
      </w:r>
    </w:p>
    <w:p>
      <w:pPr>
        <w:pStyle w:val="Heading2"/>
      </w:pPr>
      <w:r>
        <w:t>Erwägungen</w:t>
      </w:r>
    </w:p>
    <w:p>
      <w:r>
        <w:rPr>
          <w:b/>
        </w:rPr>
        <w:t>E. 1</w:t>
      </w:r>
    </w:p>
    <w:p>
      <w:r>
        <w:t>Déposé dans le délai de 30 jours fixé par l'art. 95 LPA-VD, le recours est intervenu en temps utile et respecte au surplus les conditions formelles énoncées à l'art. 79 LPA-VD, applicables par renvoi de l'art. 99 LPA-VD. A.________ (ci-après: la recourante) étant la destinataire de la décision litigieuse rendue par le SPOP (ci-après: l'autorité intimée), elle revêt manifestement la qualité pour recourir, de sorte qu'il se justifie d'entrer en matière sur le recours.</w:t>
      </w:r>
    </w:p>
    <w:p>
      <w:r>
        <w:rPr>
          <w:b/>
        </w:rPr>
        <w:t>E. 2</w:t>
      </w:r>
    </w:p>
    <w:p>
      <w:r>
        <w:t>La recourante a sollicité l'audition de six personnes, soit quatre sur la question de la situation des femmes kosovares célibataires en cas de retour dans leur pays, son médecin traitant, au sujet du changement de sa situation depuis les dernières décisions, et le père de son second enfant, afin qu'il renseigne le tribunal sur l'exercice effectif de son droit de visite sur D.________.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l'espèce, le dossier de la cause est suffisamment complet pour permettre au tribunal de statuer en toute connaissance de cause sur le recours qui porte uniquement sur la question de savoir si les messages de menace reçus par la recourante de la part de son ex-mari constituent des motifs ouvrant la voie du réexamen. Cela étant, l'audition requise n'apparaît pas utile pour trancher le litige en cause. Elle est en réalité d'autant moins pertinente que la recourante pouvait produire spontanément une déclaration écrite des personnes en question et, s'agissant d'K.________, qu'une déclaration écrite de ce dernier, datée du 6 octobre 2015, exposant les modalités du droit de visite et la contribution d'entretien versée mensuellement avait déjà été versée dans la précédente procédure de recours (PE.2016.0240) Les requêtes d'audition doivent donc être rejetées.</w:t>
      </w:r>
    </w:p>
    <w:p>
      <w:r>
        <w:rPr>
          <w:b/>
        </w:rPr>
        <w:t>E. 3</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(cf. art. 79 al. 2 LPA-VD; ATF 136 V 362 consid. 3.4.2 p. 365). Le juge administratif n’entre pas en matière sur des conclusions qui vont au-delà de l’objet du litige qui lui est soumis (ATF 134 V 418 consid. 5.2.1 p. 426; 125 V 413 consid. 1a p. 414 et les références citées). Selon l’art. 89 LPA-VD, le tribunal n’est pas lié par les conclusions des parties. Toutefois,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(GE.2007.0111 du 29 avril 2009 consid. 2; AC.2004.0130 du 27 janvier 2005; AC.1998.0065 du 10 décembre 1998 consid. 1c/bb, qui se réfère à RDAF 1998 I p. 34). b) En l’espèce, on peut s’interroger sur la portée de la première conclusion formulée par la recourante visant à l'annulation de la décision entreprise et au renvoi de la cause au Secrétariat d'Etat aux migrations (SEM), comme objet de sa compétence, après préavis cantonal, dans la perspective de l'examen d'une admission provisoire. Cette conclusion sort de l'objet du litige dans la mesure où le SPOP ne s'est pas prononcé sur cette question. Il n'appartient dès lors au tribunal de céans de s'en saisir dans le cadre du présent recours. La conclusion de la recourante est ainsi irrecevable.</w:t>
      </w:r>
    </w:p>
    <w:p>
      <w:r>
        <w:rPr>
          <w:b/>
        </w:rPr>
        <w:t>E. 4</w:t>
      </w:r>
    </w:p>
    <w:p>
      <w:r>
        <w:t>La recourante fait grief à l'autorité intimée d'avoir rejeté sa nouvelle demande de réexamen alors que l'on serait en présence selon elle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w:t>
      </w:r>
    </w:p>
    <w:p>
      <w:r>
        <w:rPr>
          <w:b/>
        </w:rPr>
        <w:t>E. 4.2</w:t>
      </w:r>
    </w:p>
    <w:p>
      <w:r>
        <w:t>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5</w:t>
      </w:r>
    </w:p>
    <w:p>
      <w:r>
        <w:t>Dans le cas présent, la recourante se prévaut en premier lieu d'un moyen de preuve qu'elle prétend être nouveau, à savoir la production de deux lettres de menaces reçues de son ex-époux, respectivement en juillet 2016 et septembre 2016. Or, s'il convient de ne pas relativiser la gravité de ces menaces, force est cependant de constater que le premier courrier est antérieur à l'arrêt de la CDAP du 17 août 2016 et aurait pu être produit dans le cadre de cette procédure (PE.2016.0240); par ailleurs, le second courrier, postérieur à l'arrêt précité, n'a été invoqué par l'intéressée que six mois plus tard, lors du dépôt de sa troisième demande de réexamen le 28 mars 2017. Aucun motif n'est au demeurant allégué pour tenter d'expliquer les raisons de ce retard. On rappellera que, s'agissant des sms de menaces également adressés par son ex-mari, la recourante les avait produits pour la première fois dans le cadre de sa deuxième demande de réexamen datée du 1 er février 2016, soit près de quatre ans après leur envoi. Comme rappelé ci-avant, seuls les moyens de preuve importants dont le recourant ne pouvait pas se prévaloir au moment de la première décision ouvrent la voie du réexamen (art. 64 al. 2 let. b LPA-VD). Tel n'est manifestement pas le cas des nouvelles pièces produites, qu'un recourant raisonnablement diligent aurait été en mesure, au besoin avec l'aide d'un tiers, de verser au dossier dans le cadre de la première procédure déjà, respectivement de produire sans attendre. Ces pièces ayant à l'évidence été produites tardivement, c'est à bon droit que l'autorité intimée a refusé de réexaminer sa décision sur cette base. Cela est d'autant plus justifié que la recourante n'a requis aucune protection dans notre pays; en particulier, elle n'a pas sollicité la confidentialité de son adresse auprès des autorités communales compétentes. Enfin, tant sa situation personnelle et familiale ici en Suisse, que médicale, déjà examinée de manière circonstanciée dans les précédentes procédures, n'a pas notablement évolué depuis la décision du SPOP du 20 décembre 2011.</w:t>
      </w:r>
    </w:p>
    <w:p>
      <w:r>
        <w:rPr>
          <w:b/>
        </w:rPr>
        <w:t>E. 6</w:t>
      </w:r>
    </w:p>
    <w:p>
      <w:r>
        <w:t>Il suit de ce qui précède que le recours, manifestement mal fondé, doit être rejeté et la décision attaquée confirmée. Le présent arrêt est rendu en application de l'art. 82 LPA-VD, applicable devant le Tribunal cantonal par renvoi de l’art. 99 de la même loi, aux termes duquel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Vu l'issue du recours, les frais seront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