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PE.2017.0234 vom 7. November 2017</w:t>
      </w:r>
    </w:p>
    <w:p>
      <w:r>
        <w:t>VD Tribunal cantonal, 2017-11-07, FR</w:t>
      </w:r>
    </w:p>
    <w:p>
      <w:r>
        <w:rPr>
          <w:b/>
        </w:rPr>
        <w:t xml:space="preserve">Quelle: </w:t>
      </w:r>
      <w:r>
        <w:t>https://mcp.opencaselaw.ch/entscheid/vd_omni_PE.2017.0234</w:t>
      </w:r>
    </w:p>
    <w:p>
      <w:r>
        <w:t>FR: VD_OMNI PE.2017.0234 du 7 novembre 2017</w:t>
      </w:r>
    </w:p>
    <w:p>
      <w:r>
        <w:t>IT: VD_OMNI PE.2017.0234 del 7 novembre 2017</w:t>
      </w:r>
    </w:p>
    <w:p>
      <w:pPr>
        <w:pStyle w:val="Heading2"/>
      </w:pPr>
      <w:r>
        <w:t>Regeste</w:t>
      </w:r>
    </w:p>
    <w:p>
      <w:r>
        <w:t>A.________ /Département de l'économie et du sport (DECS), Service de la population (SPOP) | Recours d'un ressortissant kosovar contre la révocation de son autorisation d'établissement et son renvoi dans son pays d'origine. Le recourant minimise l'importance des infractions pénales dont il s'est rendu coupable et qui ont débouché sur deux condamnations à des peines totalisant plus de six ans d'emprisonnement. Ayant une pleine capacité de travail, il est sans emploi depuis sa sortie de prison, bénéficie du RI et, contrairement à ce qu'il soutient, n'est pas particulièrement bien intégré en Suisse. Partant, les conditions de la révocation de son autorisation de séjour étaient remplies. Bien que sa femme et ses trois enfants vivent actuellement en Suisse, le droit au respect de la vie familiale ne fait pas obstacle à la révocation litigieuse.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Le recourant conteste la révocation de son autorisation d'établissement. Il avance que les conditions de la révocation ne seraient pas réunies au regard des infractions commises. A son sens, la décision serait disproportionnée, son intérêt et celui de sa famille à demeurer en Suisse l'emportant sur l'intérêt public à son éloignement. La décision entreprise violerait également le droit à la vie privée et familiale garanti par l'art. 8 de la Convention du</w:t>
      </w:r>
    </w:p>
    <w:p>
      <w:r>
        <w:rPr>
          <w:b/>
        </w:rPr>
        <w:t>E. 4</w:t>
      </w:r>
    </w:p>
    <w:p>
      <w:r>
        <w:t>Il résulte de ce qui précède que le recours doit être rejeté et la décision attaquée, confirmée. Compte tenu de ses ressources, le recourant a été mis au bénéfice de l'assistance judiciaire par décision du 21 juin 2017 et il convient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13 octobre 2017, le conseil d'office du recourant a annoncé avoir consacré à l'affaire un temps de 8 heures et 30 minutes, ce qui paraît approprié aux nécessités du cas. Il convient dès lors d'allouer au mandataire d'office une indemnité de 1'530 fr. (8.5 x 180), à laquelle il faut ajouter les débours par 100 fr. Compte tenu de la TVA au taux de 8%, l'indemnité totale s'élève à 1'760 fr. 50. L'indemnité de conseil d'office et les frais de justice sont supportés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