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PE.2017.0167 vom 23. Juni 2017</w:t>
      </w:r>
    </w:p>
    <w:p>
      <w:r>
        <w:t>VD Tribunal cantonal, 2017-06-23, FR</w:t>
      </w:r>
    </w:p>
    <w:p>
      <w:r>
        <w:rPr>
          <w:b/>
        </w:rPr>
        <w:t xml:space="preserve">Quelle: </w:t>
      </w:r>
      <w:r>
        <w:t>https://mcp.opencaselaw.ch/entscheid/vd_omni_PE.2017.0167</w:t>
      </w:r>
    </w:p>
    <w:p>
      <w:r>
        <w:t>FR: VD_OMNI PE.2017.0167 du 23 juin 2017</w:t>
      </w:r>
    </w:p>
    <w:p>
      <w:r>
        <w:t>IT: VD_OMNI PE.2017.0167 del 23 giugno 2017</w:t>
      </w:r>
    </w:p>
    <w:p>
      <w:pPr>
        <w:pStyle w:val="Heading2"/>
      </w:pPr>
      <w:r>
        <w:t>Regeste</w:t>
      </w:r>
    </w:p>
    <w:p>
      <w:r>
        <w:t>A.________/Service de la population (SPOP) | La recourante, ressortissante somalienne, et son époux de nationalité suisse, ont vécu ensemble durant deux périodes distinctes qui représentent au total dix-sept mois et neuf jours, avant de rompre définitivement. La recourante ne peut pas invoquer des raisons majeures justifiant l'existence de domiciles séparés durant les deux ans, sept mois et onze jours qui se sont écoulés entre la première séparation des époux et la reprise de leur vie commune. Elle n'est pas non plus fondée à invoquer les violences domestiques commises à son endroit durant la première période de vie commune, puisqu'elle s'est remise en ménage avec son époux et qu'elle ne fait état d’aucun acte de violence à son endroit durant la seconde période. L’intégration de la recourante en Suisse est bien plus qu’aléatoire et son comportement est très loin d’être exemplaire, puisqu'elle a été pénalement condamnée à quatre reprises, dont trois durant ces six dernières années, et fait l’objet de poursuites. En outre, elle est mère d'un enfant âgé de seize ans et demi, dont elle n'a jamais eu la garde et avec lequel elle n’entretient pas d'étroites relations économiques et personnelles. Enfin, elle dépend constamment de l'assistance publique à l'égard de laquelle elle a contracté une dette importante. C'est donc sans abus de son pouvoir d'appréciation que l'autorité intimée a refusé la prolongation de son autorisation de séjour et prononcé son renvoi. Toutefois, l'autorité intimée a implicitement admis que l'exécution de ce renvoi n'était pas possible, pas licite ou inexigible, et a proposé de soumettre le dossier de la recourante au SEM en vue d'une éventuelle admission provisoire. Recours déclaré irrecevable par arrêt du Tribunal fédéral 2C_787/2017 du 9 octobre 2017.</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le recours est formellement recevable, en dépit d’une motivation extrêmement sommaire (cf. art. 79 al. 1 et 99 LPA-VD). Il y a donc lieu d'entrer en matière sur le fond.</w:t>
      </w:r>
    </w:p>
    <w:p>
      <w:r>
        <w:rPr>
          <w:b/>
        </w:rPr>
        <w:t>E. 2</w:t>
      </w:r>
    </w:p>
    <w:p>
      <w:r>
        <w:t>En premier lieu, il importe de vérifier si la recourante peut déduire de son mariage avec un ressortissant suisse un droit à la continuation de son séjour en Suisse. a) Aux termes de l’art. 42 de la loi fédérale du 16 décembre 2005 sur les étrangers (LEtr; RS 142.20),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 du Tribunal fédéral 2C_959/2011 du 22 février 2012 consid. 4.2 et la référence). L'art. 49 LEtr prévoit une exception à l'exigence du ménage commun lorsque la communauté familiale (ou conjugale) est maintenue et que des raisons majeures justifiant l'existence de domiciles séparés peuvent être invoquées. Ces conditions sont cumulatives (arrêts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(arrêt 2C_723/2010 du 14 février 2011 consid. 4.1). La séparation due à une crise conjugale ne doit toutefois pas durer plus de quelques mois (arrêt 2C_712/2014 du 12 juin 2015 consid. 2.3).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2C_654/2010 précité, consid. 2.2; arrêt PE.2011.0236 du 29 novembre 2011). Tel est généralement le cas d'une séparation de plus d'une année (arrêt 2C_560/2011 du 20 février 2012 consid. 3). Le but de l'art. 49 LEtr n'est en effet pas de permettre aux époux étrangers de vivre séparés en Suisse pendant une longue période et exige que la communauté familiale soit maintenue (arrêts 2C_556/2010 du 2 décembre 2010 consid. 4.1; 2C_50/2010 du 17 juin 2010 consid. 2.3.2; 2C_575/2009 du 1 er juin 2010 consid. 3.6). La décision de " vivre ensemble séparément " en tant que telle et sans résulter d'autres motifs ne constitue pas une raison majeure au sens de l'art. 49 LEtr (v. récemment, arrêt 2C_211/2016 du 23 février 2017 et les références citées). Lorsque la décision de ne pas faire ménage commun est motivée par une question de confort mutuel, l'art. 49 LEtr ne trouve pas application (arrêt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2C_654/2010 du 10 janvier 2011 consid. 2.3; 2C_635/2009 du 26 mars 2010 consid. 4.3 in fine et 4.4; arrêts PE.2012.0143 du 14 décembre 2012 consid. 3c; PE.2011.0036 du 29 novembre 2011 consid. 2b).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(ATF 138 II 229 consid. 2 p. 231; 136 II 113 consid. 3.3.5 p. 120; arrêts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Il en découle que, pour faire partir le délai de trois ans, il n'est pas nécessaire que le conjoint étranger soit au bénéfice d'un titre de séjour en Suisse (cf. arrêts 2C_501/2012 du 21 décembre 2012 consid. 6.2; 2C_430/2011 du 11 octobre 2011 consid. 4.1.3; 2C_475/2010 du 29 octobre 2010 consid. 4.2). Cette limite est absolue et s'applique même s'il ne reste que quelques jours pour atteindre la durée des trente-six mois exigés par l'art. 50 al. 1 let. a LEtr (cf. ATF 137 II 345 consid. 3.1.3 p. 347; 136 II 113 consid. 3.2 et 3.4 p. 116 s. et 120; arrêts 2C_275/2013 du 1er août 2013 consid. 3.2; 2C_195/2010 du 23 juin 2010 consid. 5.1 et les arrêts cités).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(arrêts 2C_88/2017 du 30 janvier 2017; 2C_430/2011 du 11 octobre 2011 consid. 4.1.2). Le Tribunal fédéral a rappelé à plusieurs occasions que le délai de trois ans de l'art. 50 al. 1 let. a LEtr devait être envisagé en relation avec la deuxième condition de cette disposition, à savoir l'intégration réussie en Suisse (ATF 136 II 113 consid. 3.3.3 p. 119; arrêt 2C_430/2011 du 11 octobre 2011 consid. 4.1.2). Or, d'après la jurisprudence, une intégration réussie en Suisse présuppose que le conjoint étranger a vécu en Suisse pendant une certaine durée mais pas forcément de manière ininterrompue. Le Tribunal fédéral a donc jugé qu'il n'était pas nécessaire que la vie commune des époux en Suisse ait lieu d'une seule traite. Des séjours à l'étranger du couple ne font ainsi pas obstacle à l'application de l'art. 50 al. 1 let. a LEtr si l'addition des périodes de vie commune en Suisse aboutit à une durée supérieure à trois ans (arrêt 2C_430/2011 du 11 octobre 2011 consid. 4.1.2). Dans l’ATF 140 II 345, le Tribunal fédéral a admis que les périodes de ménage commun des époux en Suisse peuvent s'additionner même lorsqu'elles ont été interrompues par plusieurs périodes d'éloignement non justifiées au regard de l'art. 49 LEtr (consid. 4.5.2 p. 351).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p. 351; cf. aussi ATF 140 II 289 consid. 3.5.1 p. 294;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2C_602/2013 du 10 juin 2014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 p. 351 s.).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arrêt 2C_748/2011 du 11 juin 2012 consid. 2.1). Dans le calcul de sa durée, il y a surtout lieu de prendre en compte la période durant laquelle les époux ont fait ménage commun d'une manière perceptible par les tiers (arrêt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(arrêts 2C_1258/2012 du 2 août 2013 consid. 4.1; 2C_748/2011 précité,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arrêt 2C_882/2013 du 8 mai 2014 consid. 3.2).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de l'ordonnance fédérale du 24 octobre 2007 relative à l'admission, au séjour et à l'exercice d'une activité lucrative (OASA; RS 142.201) ,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(arrêt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(arrêts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(arrêts 2C_430/2011 du 11 octobre 2011, consid. 4.2; 2C_749/2011 précité, consid. 3.3 et les réf. cit.) . Il n'y a en revanche pas d'intégration réussie lorsqu'il n'exerce pas d'activité lucrative qui lui permette de couvrir ses besoins et qu'il dépend des prestations sociales pendant une période relativement longue (arrêt 2C_930/2012 du 10 janvier 2013, consid. 3.1 et les arrêts cités). d) En la présente espèce, la recourante, ressortissante d’un Etat tiers avec lequel la Suisse n’est lié par aucune convention, s’est vue délivrer une autorisation de séjour à la suite de son mariage, le 10 décembre 2010, avec D.________, ressortissant suisse, afin de pouvoir vivre aux côtés de ce dernier, conformément à l’art. 42 al. 1 LEtr. Formellement, ce mariage n’a, à ce jour, pas été dissous par le divorce. Sur le plan matériel en revanche, il s’avère que les époux ont fait ménage commun durant moins de trois ans. En effet, les époux D.________ ont vécu une première fois ensemble depuis leur mariage jusqu’au 19 octobre 2011, date de leur première séparation, soit durant dix mois et neuf jours. Ils ont repris la vie commune à compter du 1 er mai 2014, jusqu’à ce que D.________ ne quitte définitivement le domicile conjugal le 1 er décembre 2014, soit après sept mois. Ainsi, au total, les époux D.________ ont vécu ensemble durant dix-sept mois et neuf jours. La recourante, qui n’en dit mot, ne peut pas invoquer des raisons majeures justifiant l'existence de domiciles séparés durant une période aussi longue que les deux ans, sept mois et onze jours qui séparent la première séparation des époux de la reprise de leur vie commune. Du reste, aucun élément du dossier ne tend à démontrer que la communauté familiale ait été maintenue en dépit de cette longue période de séparation, durant laquelle les époux ont vécu chacun à distance respectable. En effet, D.________ a emménagé à ********, cependant que la recourante est demeurée à ********. Aucun d’eux n’a indiqué avoir poursuivi des relations avec son conjoint durant cette période. La première des deux conditions cumulatives de l’art. 50 al. 1 let. a LEtr n’étant pas réalisée, il n’est pas nécessaire de vérifier si, en outre, l’intégration de la recourante en Suisse est réussie. De toute manière, force serait d’admettre que cette condition n'est pas remplie. Selon la jurisprudence, il n'y a en effet pas d'intégration réussie lorsque l'étranger n'exerce pas d'activité lucrative qui lui permette de couvrir ses besoins et qu'il dépend des prestations sociales pendant une période relativement longue (arrêts 2C_385/2014 du 19 janvier 2015 consid. 4.1; 2C_298/2014 du 12 décembre 2014 consid. 6.3; 2C_930/2012 du 10 janvier 2013 consid. 3.1), ce qui est le cas en l'espèce puisque la recourante ne travaille pas et est entièrement assistée depuis plusieurs années. Elle a du reste contracté à l’égard de l’assistance publique une dette qui atteignait 83'749 fr.25 au 8 août 2014 et qui n’a très certainement pas diminué à l’heure actuelle. Quoi qu’il en soit, cette condition sera de toute façon examinée plus en détail plus loin, comme on le verra ci-dessous.</w:t>
      </w:r>
    </w:p>
    <w:p>
      <w:r>
        <w:rPr>
          <w:b/>
        </w:rPr>
        <w:t>E. 3</w:t>
      </w:r>
    </w:p>
    <w:p>
      <w:r>
        <w:t>Il reste cependant à vérifier si la recourante peut invoquer avec succès d’autres dispositions pour prétendre au renouvellement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(arrêts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232 s.; arrêts 2C_784/2013 du 11 février 2014 consid. 4.1; 2C_690/2010 du 25 janvier 2011 consid. 3.2 et les références citées). A cet égard, l'étranger est soumis à un devoir de collaboration étendu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p. 235; arrêt 2C_968/2012 du 22 mars 2013 consid. 3.2; v. en outre, arrêt 2C_1125/2015 du 18 janvier 2016 consid. 4.1/4.2).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p. 154).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arrêt 2D_81/2009 du 12 avril 2010 consid. 3).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 En vertu de l’art. 51 al. 2 let. b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et les art. 8 de la convention du 4 novembre 1950 de sauvegarde des droits de l'homme et des libertés fondamentales (CEDH; RS 0.101) et 13 al. 1 de la Constitution fédérale, du 18 avril 1999 (Cst.; RS 101; cf. arrêt PE.2016.0138 du 9 août 2016 consid. 9a). b) La recourante invoque à cet égard la protection que lui offrirait l’art. 50 al. 1 let. b et al. 2 LEtr et fait valoir qu’elle est victime de violences domestiques. C’est du reste le seul argument qu’elle oppose à la décision attaquée. Sur ce point, on relève que la recourante a sans doute produit un certificat médical du CHUV, du 12 septembre 2011, attestant d’un évènement, remontant au 10 septembre 2011, au cours duquel D.________, fortement alcoolisé, a exercé sur elle des violences domestiques, la giflant, avant de lui arracher une touffe de cheveux et de briser un verre sur la tête. La recourante a également fait état de violences commises sur elle par D.________ entre les mois d’avril et juillet 2011. Ce certificat fait effectivement état de plusieurs lésions subies par la recourante au niveau de la tête, du membre supérieur droit et du membre supérieur gauche. La recourante ne semble cependant pas être demeurée passive dans ces épisodes de violence, puisqu’elle a elle-même été condamnée, le 30 août 2011, sur plainte de D.________ pour lésions corporelles simples avec un instrument dangereux et voies de fait, commises entre le 10 février et le 10 avril 2011. Au vu de ce qui précède, l’autorité intimée s’est néanmoins dite favorable, le 30 juin 2014, au renouvellement de l’autorisation de séjour de la recourante pour raisons personnelles majeures. Il reste que la recourante peut difficilement se prévaloir de ce qui précède, puisqu’elle s’est remise en ménage avec D.________ à compter du 1 er mai 2014, avant que ce dernier ne mette définitivement un terme à la vie commune le 1 er décembre 2014. C’est du reste à la faveur de la poursuite du regroupement familial que son autorisation de séjour a finalement été prolongée le 5 septembre 2014. Or, au cours de son audition le 14 mars 2016, la recourante n’a fait état d’aucun acte de violence à son endroit durant cette dernière période. A la question des enquêteurs de l’autorité intimée de savoir quels étaient les motifs de cette séparation, la recourante a répondu qu’il fallait demander à son conjoint, ajoutant que «ça n’allait probablement pas entre lui et moi» . Requise par l’autorité intimée le 17 mars 2016, de produire tous les documents attestant de violences domestiques commises à son encontre, conformément à l’art. 77 al. 6 OASA, la recourante n’a du reste pas répondu, contrairement à l’obligation qui lui est faite de collaborer (cf. art. 90 LEtr). Dès lors, on retiendra que le lien entre les violences domestiques exercées sur la recourante le 10 septembre 2011 et précédemment, d’une part, et la rupture définitive de l’union conjugale, intervenue le 1 er décembre 2014, d’autre part, n’est pas avéré, contrairement à ce que celle-ci paraît vouloir soutenir. La recourante n’est dès lors pas fondée à invoquer cette circonstance à l’appui de la continuation de son séjour en Suisse. c) On n’aura guère d’hésitation à dire que l’intégration de la recourante en Suisse est bien plus qu’aléatoire. Contrairement à ce qu’elle soutient, son comportement est très loin d’être exemplaire. La recourante a en effet été pénalement condamnée à quatre reprises, dont trois durant ces six dernières années. En outre, elle admet elle-même faire l’objet de poursuites pour environ 11'000 fr., ce qui est attesté par l’extrait versé au dossier. Elle a refusé à plusieurs reprises d’honorer les convocations que l’autorité lui a adressée pour finalement être auditionnée le 14 mars 2016, tout en refusant de signer le procès-verbal d’audition et ceci, sans aucun motif. Enfin, la recourante est mère d’un adolescent, C.________, dont la garde lui a été retirée alors que ce dernier avait moins d’un an, dont elle ne s’occupe guère et auquel elle n’a jamais fait la moindre allusion dans la présente procédure, sauf lorsque les enquêteurs la questionnent à son sujet. Ainsi, lors de son audition le 14 mars 2016, la recourante a expliqué que son fils, âgé de seize ans et demi, vivait dans un foyer au ********, en précisant que deux pensionnaires (ou deux employées) de ce foyer l’importunaient. Il est à relever que cette situation empêcherait la recourante de se prévaloir du respect de sa vie familiale, garanti par l’art. 8 CEDH, dès lors qu’elle n’entretient pas d'étroites relations économiques et personnelles avec son fils, d’une part, et que son comportement n’est de loin pas irréprochable, d’autre part (dans le même sens, ATF 141 II 169 consid. 5.2.1 p. 180; 139 I 315 consid. 2.1 p. 318/319 et les arrêts cités; cf. en outre, arrêts PE.2015.0006 du 11 juin 2015; PE.2014.0371 du 6 janvier 2015). Surtout, il appert que non seulement, la recourante n’a jamais travaillé et a toujours dépendu de l’assistance publique pour son entretien, mais par surcroît, elle n’a jamais cherché à entreprendre une formation quelconque ou à suivre des cours pour tenter de s’insérer dans le marché du travail, y compris depuis qu’elle est au bénéfice d’une autorisation de séjour, c’est-à-dire depuis six ans et demi. La recourante n’a jamais donné la moindre explication sérieuse pour justifier cette situation, bien qu’elle ait été mise en garde, le 30 juin 2014, sur les conséquences que peut entraîner la dépendance durable à l’aide sociale. Or, durant toute cette période, elle a contracté une dette à l’égard de l’assistance publique qui aujourd’hui excède probablement 100'000 francs. On rappelle à cet égard que l'art. 62 al. 1 let. e LEtr permet à l'autorité compétente de révoquer une autorisation de séjour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2C_427/2015 du 29 octobre 2015 consid. 3; 2C_763/2014 du 23 janvier 2015 consid. 5.1; 2C_139/2013 du 11 juin 2013 consid. 6.2.4; 2C_685/2010 du 30 mai 2011 consid. 2.3.1). d) Peu importe, dans ces conditions, que la recourante vive en Suisse depuis l’âge de sept ans; les liens qu’elle y entretient n’apparaissent en effet pas comme étant spécialement intenses et ne dépassent en tout cas pas ceux qui résultent d'une intégration ordinaire. Au vu de ce qui précède, force serait de toute façon d’admettre que les conditions de la révocation de l’autorisation de séjour de la recourante sont réunies, vu l’art. 51 al. 2 let. b LEtr, en relation avec l’art. 62 let. e LEtr, de sorte que le droit éventuel de la recourante à la prolongation de son autorisation de séjour pour raisons personnelles majeures (art. 50 al. 1 let. b et al. 2 LEtr) se serait éteint.</w:t>
      </w:r>
    </w:p>
    <w:p>
      <w:r>
        <w:rPr>
          <w:b/>
        </w:rPr>
        <w:t>E. 4</w:t>
      </w:r>
    </w:p>
    <w:p>
      <w:r>
        <w:t>Dans la décision attaquée, l’autorité intimée s’est engagée à soumettre au SEM le dossier de la recourante en vue d’une admission provisoire. Si l'admission provisoire peut certes être proposée par les autorités cantonales (cf. art. 83 al. 6 LEtr), la compétence d'admettre provisoirement l'étranger si l'exécution du renvoi ou de l'expulsion n'est pas possible, n'est pas licite ou ne peut être raisonnablement exigée relève selon l'art. 83 al. 1 LEtr de l’autorité fédérale compétente, en l’occurrence le SEM. En l'occurrence, l'autorité intimée a certes prononcé dans la décision attaquée le renvoi de la recourante. Toutefois, elle a implicitement admis que l'exécution de ce renvoi n'était pas possible, pas licite ou inexigible. Dans ces conditions, la recourante n’est pas tenue, à tout le moins en l’état, de quitter le pays. Il n’y a donc pas lieu d’examiner la question du renvoi en Somalie (cf. PE.2014.0475 du 13 mai 2015).</w:t>
      </w:r>
    </w:p>
    <w:p>
      <w:r>
        <w:rPr>
          <w:b/>
        </w:rPr>
        <w:t>E. 5</w:t>
      </w:r>
    </w:p>
    <w:p>
      <w:r>
        <w:t>Les considérants qui précèdent conduisent au rejet du recours et à la confirmation de la décision attaquée. Au vu de la situation financière de la recourante, il se justifie de statuer sans frais et l’allocation de dépens n’entre pas en ligne de compte (art. 49 al. 1,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