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PE.2017.0164 vom 19. März 2018</w:t>
      </w:r>
    </w:p>
    <w:p>
      <w:r>
        <w:t>VD Tribunal cantonal, 2018-03-19, FR</w:t>
      </w:r>
    </w:p>
    <w:p>
      <w:r>
        <w:rPr>
          <w:b/>
        </w:rPr>
        <w:t xml:space="preserve">Quelle: </w:t>
      </w:r>
      <w:r>
        <w:t>https://mcp.opencaselaw.ch/entscheid/vd_omni_PE.2017.0164</w:t>
      </w:r>
    </w:p>
    <w:p>
      <w:r>
        <w:t>FR: VD_OMNI PE.2017.0164 du 19 mars 2018</w:t>
      </w:r>
    </w:p>
    <w:p>
      <w:r>
        <w:t>IT: VD_OMNI PE.2017.0164 del 19 marzo 2018</w:t>
      </w:r>
    </w:p>
    <w:p>
      <w:pPr>
        <w:pStyle w:val="Heading2"/>
      </w:pPr>
      <w:r>
        <w:t>Regeste</w:t>
      </w:r>
    </w:p>
    <w:p>
      <w:r>
        <w:t>A.________ /Service de la population (SPOP) | Irrecevabilité d'une troisième demande de réexamen contre le refus de renouveler l'autorisation de séjour d'un ressortissant kosovar de 34 ans condamné pénalement pour viol (confirmée par la CDAP PE.2014.0376 du 2 juillet 2015 et par le TF 2C_759/2015 du 10 septembre 2015), après que l'irrecevabilité d'une deuxième demande de réexamen a déjà été confirmée par la CDAP (PE.2016.0144 du 10 mars 2016, confirmé par le TF 2C_350/2016 du 29 avril 2016). Les éléments liés à l'intégration (indépendance financière) ne constituent pas des faits nouveaux. Les menaces de mort de la part de son père qui pèseraient sur le recourant en cas de retour au Kosovo ne sont pas suffisamment établies. Certificats médiaux insuffisamment étayés et difficultés liées au statut incertain ne justifiant pas le réexamen. Recours rejeté et décision confirmée. Recours au TF rejeté (2C_331/2018 du 24 mai 2018).</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recourant requiert son audition par le tribunal. La LPA-VD ne confère pas de droit à être entendu personnellement par le tribunal. En l'espèce, le tribunal estime que les pièces au dossier sont suffisantes pour lui permettent de forger son opinion si bien que la requête du recourant doit être rejetée.</w:t>
      </w:r>
    </w:p>
    <w:p>
      <w:r>
        <w:rPr>
          <w:b/>
        </w:rPr>
        <w:t>E. 3</w:t>
      </w:r>
    </w:p>
    <w:p>
      <w:r>
        <w:t>Le recourant se prévaut de prétendus faits nouveaux qui justifieraient selon lui l'octroi d'une autorisation de séjour pour cas individuel d'extrême gravité. a) Les conditions de réexamen d'une décision administrative sont fixées, en droit cantonal, à l'art. 64 de la loi vaudoise du 28 octobre 2008 sur la procédure administrative (LPA-VD; RSV 173.36), ainsi libellé: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1er février 2017 consid. 3b; PE.2016.0150 du 18 janvier 2017 consid. 2a; PE.2015.0334 du 2 novembre 2016 consid. 1a; PE.2016.0194 du 6 septembre 2016 consid. 3).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ATF 2D_5/2017 du 14 février 2017 consid. 6.1; 2C_1224/2013 du 12 décembre 2014 consid. 4.1). b) Selon l'art. 30 al. 1 let. b de la loi fédérale du 16 décembre 2005 sur les étrangers (LEtr; RS 142.20), il est possible de déroger aux conditions d’admission dans le but de tenir compte des cas individuels d’une extrême gravité. Cette disposition est concrétisée à l'art. 31 de l'ordonnance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CDAP PE.2014.0383 du 18 novembre 2015 consid. 6a et les références). c) En l'espèce, le recourant fait d'abord valoir sa bonne intégration professionnelle en Suisse et le fait qu'il n'a jamais dépendu de l'aide sociale. Ces éléments ne sont pas nouveaux puisque les autorités administratives et judiciaires ont tenu compte du fait que le recourant a régulièrement exercé une activité professionnelle lorsqu'elles ont décidé, respectivement confirmé, la non prolongation de son autorisation de séjour. Dès lors, le nouveau contrat de travail conclu par le recourant en tant que cuisinier dès le 1 er mars 2018 ne constitue pas non plus un élément nouveau, l'indépendance financière du recourant étant établie. Le recourant soutient ensuite que sa réintégration au Kosovo, son pays d'origine, serait impossible. Il allègue d'abord que son père aurait menacé de le tuer en raison de la condamnation pénale prononcée en Suisse et, plus généralement, soutient qu'il n'aurait pas la possibilité de s'établir au Kosovo compte tenu de ce contexte familial tendu. Cet élément ne constitue pas un fait nouveau. En effet, la condamnation du recourant a été définitivement confirmée en août 2013 soit il y a près de cinq ans. Il est donc douteux que la réaction de son père par rapport à celle-ci ne se soit manifestée qu'au début 2017. Quoiqu'il en soit, la production d'une traduction du courrier des frères du recourant, sans que l'on soit en possession du courrier original signé par ces derniers, n'est à l'évidence pas suffisante pour établir la réalité des menaces concrètes qui pèseraient sur le recourant. Le fait que le recourant ait obtenu un courrier de ses frères est en outre contradictoire avec les propres déclarations du recourant qui soutient qu'il n'a plus de contact avec les membres de sa famille depuis sa condamnation. On relèvera encore que les prétendues menaces de mort qui pèsent sur lui ne l'ont pas empêché de retourner au Kosovo au mois de mars 2015 pour passer des vacances, selon le procès-verbal de son audition du 1 er juillet 2016 par la Police du Chablais vaudois sur réquisition du SPOP. En réalité, le recourant, qui est désormais divorcé et sans attaches familiales en Suisse, encore jeune et qui a passé la majorité de sa vie au Kosovo, ne devrait recontrer aucune difficulté à retourner y vivre. Le recourant invoque encore la dégradation de son état de santé lié à la perspective d'un renvoi de Suisse et à l'idée d'être confronté avec son père. Il fait également valoir être atteint d'une maladie qui ne pourrait être soignée au Kosovo. A l'appui de ses allégations, le recourant produit trois certificats médicaux, le premier du Dr ********, spécialiste FMH en médecine interne, du 16 février 2017, le deuxième de la Dresse ********, spécialiste FMH en psychiatrie-psychothérapie, du 29 mars 2017 et le troisième de la Dresse ********, spécialiste FMH en anesthésiologie antalgie interventionnelle à la Clinique de la ********, du 13 février 2018. Les deux premiers certificats font état de troubles liés à ses difficultés administratives et au renouvellement de son autorisation de séjour. Selon le certificat de la Dresse ********, cette angoisse se manifeste par des " troubles du sommeil  et une symptomatologie anxieuse de forte intensité à des ruminations permanentes ". Dès lors que ces troubles sont liés à la perspective du départ du recourant en Suisse, ils ne constituent pas des éléments nouveaux puisque cette perspective est bien réelle au moins depuis le 10 septembre 2015, date de l'arrêt du Tribunal fédéral confirmant le refus de prolonger son autorisation de séjour. Quoiqu'il en soit, selon la jurisprudence, les difficultés psychologiques consécutives au statut incertain du requérant à une autorisation de séjour ne justifient pas une exception aux mesures de limitation (Cf. ATF 2A.474/2001 du 15 février 2002, consid. 3.2). Les certificats médicaux produits par le recourant, dont l'un émane d'un spécialiste en médecine interne sans compétence particulière dans le domaine psychiatrique et l'autre est peu étayé, sont en outre insuffisants pour rendre vraisemblable l'existence d'une maladie ou d'un trouble psychique allant au-delà de ce qui est usuel dans de telles circonstances. Quant au troisième certificat médical, il se borne à faire état d'un suivi du recourant à la consultation de la douleur chronique pour une durée indéterminée sans fournir ni anamnèse, ni diagnostic, ni détails sur le traitement suivi. Rien n'indique donc que le recourant souffrirait d'une maladie pour laquelle des soins adéquats n'existeraient pas au Kosovo. Les motifs invoqués ne sauraient non plus s'opposer à l'exigibilité de son renvoi (art. 83 al. 4 LEtr) dès lors que le recourant n'a aucunement établi qu'un retour reviendrait à le mettre concrètement en danger au sens de cette disposition. Il résulte de ce qui précède que le recourant n'allègue aucun élément nouveau de nature à modifier l'état de fait à la base de la décision refusant la prolongation de son autorisation de séjour, décision confirmée par les autorités judiciaires. C'est dès lors à juste titre que l'autorité intimée a déclaré irrecevable la demande de réexamen du recourant. La décision attaquée doit également être confirmée dans la mesure où elle ordonne le départ immédiat de Suisse du recourant, dont les demandes de réexamen successives ne visent qu'à remettre sans cesse en cause les décisions définitives et exécutoires dont il fait déjà l'objet.</w:t>
      </w:r>
    </w:p>
    <w:p>
      <w:r>
        <w:rPr>
          <w:b/>
        </w:rPr>
        <w:t>E. 4</w:t>
      </w:r>
    </w:p>
    <w:p>
      <w:r>
        <w:t>Entièrement mal fondé, le recours doit être rejeté et la décision attaquée confirmée. Le recourant, qui succombe, supportera les frais de la cause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