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PE.2017.0150 vom 3. August 2017</w:t>
      </w:r>
    </w:p>
    <w:p>
      <w:r>
        <w:t>VD Tribunal cantonal, 2017-08-03, FR</w:t>
      </w:r>
    </w:p>
    <w:p>
      <w:r>
        <w:rPr>
          <w:b/>
        </w:rPr>
        <w:t xml:space="preserve">Quelle: </w:t>
      </w:r>
      <w:r>
        <w:t>https://mcp.opencaselaw.ch/entscheid/vd_omni_PE.2017.0150</w:t>
      </w:r>
    </w:p>
    <w:p>
      <w:r>
        <w:t>FR: VD_OMNI PE.2017.0150 du 3 août 2017</w:t>
      </w:r>
    </w:p>
    <w:p>
      <w:r>
        <w:t>IT: VD_OMNI PE.2017.0150 del 3 agosto 2017</w:t>
      </w:r>
    </w:p>
    <w:p>
      <w:pPr>
        <w:pStyle w:val="Heading2"/>
      </w:pPr>
      <w:r>
        <w:t>Regeste</w:t>
      </w:r>
    </w:p>
    <w:p>
      <w:r>
        <w:t>A.________ /Service de la population (SPOP) | Ressortssant bolivien marié à une citoyenne de l'UE, le recourant admet que les époux ont mis un terme à leur vie commune et ne conteste pas que le lien conjugal soit définitivement rompu et vidé de toute substance; or, la vie commune entre les époux a duré, dans l’hypothèse la plus favorable pour le recourant, trente-trois mois et dix-huit jours. En outre, la continuation du séjour du recourant en Suisse ne s’impose pas pour des raisons personnelles majeures. Au surplus, il n'est pas fondé à invoquer la décision récente des autorités du canton de Genève de procéder à la régularisation de ressortissants étrangers. Confirmation du refus de prolonger son autorisation de séjour et du prononcé de son renvoi.</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LEtr n'est applicable aux membres de la famille des ressortissants des Etats membres de la Communauté européenne que dans la mesure où l'Accord sur la libre circulation n'en dispose pas autrement ou lorsque la loi fédérale prévoit des dispositions plus favorables (art. 2 al. 2 LEtr). a) Selon l'art. 4 de l'Accord entre la Communauté européenne et ses Etats membres, d'une part, et la Confédération suisse, d'autre part, sur la libre circulation des personnes conclu le 21 juin 1999 et entré en vigueur le 1er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Les ressortissants communautaires déjà établis en Suisse au moment de l’entrée en vigueur de l’ALCP peuvent se prévaloir des droits que celui-ci leur confère (ATF 134 II 10 consid. 2 p. 13). Le conjoint d'une personne ressortissant d'une partie contractante ayant un droit de séjour et ses descendants ont le droit de s'installer avec elle (art.</w:t>
      </w:r>
    </w:p>
    <w:p>
      <w:r>
        <w:rPr>
          <w:b/>
        </w:rPr>
        <w:t>E. 7</w:t>
      </w:r>
    </w:p>
    <w:p>
      <w:r>
        <w:t>let. d ALCP et art. 3 al. 1, 1 ère phrase, et 2 let. a et b annexe I ALCP).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2 ème phrase, annexe I ALCP). Selon la jurisprudence, l’art. 3 annexe I ALCP confère au conjoint étranger d’un travailleur communautaire disposant d’une autorisation de séjour en Suisse un droit de séjour en Suisse pendant toute la durée formelle du mariage, attendu qu’il n’a pas à vivre " en permanence " sous le même toit que son époux pour être titulaire d’un tel droit, cette situation étant conforme au principe de non-discrimination en raison de la nationalité inscrit à l’art. 2 ALCP (ATF 130 II 113 consid. 8.3). b) aa) Le droit au séjour pendant la durée formelle du mariage n’est toutefois pas absolu.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Ainsi, pour que le droit au séjour du conjoint ressortissant d’un Etat tiers subsiste, il importe que le mariage soit effectivement voulu. Car si le mariage a été contracté uniquement dans le but d’éluder les prescriptions en matière d’admission, le conjoint ne peut faire valoir un droit de séjour (v. Directives OLCP du SEM, état à octobre 2016 , ch. 7.4.1, p. 70).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139 II 393 consid. 3.1 p. 395; 130 II 113 consid. 9.5 p. 134; arrêts du Tribunal fédéral [TF] 2C_1069/2013  du 17 avril 2014 consid. 4.2; 2C_880/2012 du 25 janvier 2013 consid. 5.2). bb) A cet égard, le Tribunal fédéral a appliqué mutatis mutandis les critères élaborés par la jurisprudence rendue à propos de l'art. 7 al. 1 de l'ancienne loi fédérale du 26 mars 1931 sur le séjour et l'établissement des étrangers (aLSEE ; RS 1 113 et RO 1949 225), qui s’appliquait au conjoint étranger d’un ressortissant suisse et était en vigueur jusqu'au 31 décembre 2007, afin de garantir le respect du principe de non-discrimination inscrit à l'art. 2 ALCP et d'assurer une certaine cohésion d'ensemble au système. Or, selon la jurisprudence relative à l'art. 7 al. 1 aLSEE, le mariage n'existe plus que formellement lorsque l'union conjugale est rompue définitivement, c'est-à-dire lorsqu'il n'y a plus d'espoir de réconciliation; les causes et les motifs de la rupture ne jouent pas de rôle (ATF 130 II 113 consid. 4.2; 128 II 145 consid.2; 127 II 49 consid. 5a et 5d). Les principes développés par le Tribunal fédéral en matière d'abus de droit s'appliquent, sous réserve de l’art. 50 de loi fédérale du 16 décembre 2005 sur les étrangers (LEtr; RS 142.20), également à la LEtr (cf. art. 51 al. 1 let. a et al. 2 let. a LEtr; TF 2C_720/2008 du 14 janvier 2009 consid. 3.2; Directives OLCP précitées, ch. 7.4.2 ; cf. en outre CDAP PE.2014.0284 du 2 décembre 2014; PE.2013.0036 du 15 octobre 2013; PE.2008.0286 du 3 décembre 2008). Il y a abus de droit notamment lorsqu'une institution juridique est utilisée à l'encontre de son but pour réaliser des intérêts que cette institution juridique ne veut pas protéger (ATF 133 II 6 consid. 3.2; 128 II 97 consid. 4). Tel est le cas notamment lorsque le conjoint étranger invoque un mariage n'existant plus que formellement dans le seul but d'obtenir une autorisation de police des étrangers, car cet objectif n'est pas protégé par la loi. L'existence d'un éventuel abus de droit doit être appréciée dans chaque cas particulier et avec retenue, seul l'abus manifeste pouvant être pris en considération (ATF 131 II 265 consid. 4.2). Des indices clairs doivent démontrer que la poursuite de la vie conjugale n'est plus envisagée et qu'il n'existe plus de perspective à cet égard (ATF 130 II 113 consid. 10.2; 128 II 145 consid. 2.2. et les arrêts cités). Il ne suffit pas qu'une procédure de divorce soit entamée ou que les époux vivent séparés et n'envisagent pas le divorce.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130 II 113 consid. 10.2; 127 II 49 consid. 5a p. 57). b) aa) En l’occurrence, le recourant est de nationalité bolivienne. Au bénéfice du regroupement familial, suite à son mariage avec B.________, elle-même ressortissante d'un Etat de l’Union européenne, titulaire à l’époque d’une autorisation de séjour UE/AELE, il a obtenu une autorisation de séjour UE/AELE, conformément à l’art. 3 al. 1 et 2 let. a annexe I ALCP. Or, le droit du recourant à séjourner en Suisse subsiste, sous réserve de l’abus de droit, tant et aussi longtemps que son mariage avec B.________ n'est pas dissout juridiquement, soit par le divorce, soit par le décès de l’un d’eux (cf. Directives OLCP précitées, ch. 7.4.1 à 7.4.3). bb) Les époux ne sont pas divorcés mais vivent séparés depuis le 1 er septembre 2014, comme on le verra plus loin. Il ressort des déclarations du recourant durant l’enquête administrative qu’il projette désormais de fonder une famille avec sa compagne actuelle, reconnaissant que le début de leur relation précédait sa séparation d’avec B.________. Du reste, le recourant fait notamment valoir que les conditions de l’art. 77 al. 1 let. a de l'ordonnance fédérale du 24 octobre 2007 relative à l'admission, au séjour et à l'exercice d'une activité lucrative (OASA; RS 142.201) seraient réunies, comme on le verra ci-dessous. Or, la mise en œuvre de cette disposition présuppose nécessairement que la communauté conjugale ait au préalable pris fin (v. ATF 140 II 345 consid. 4 p. 347; TF 2C_1100/2014 du 6 mars 2015; 2C_1003/2014 du 10 novembre 2014). Ainsi, le recourant admet que les époux ont mis un terme à leur vie commune. Il ne conteste pas que le lien conjugal soit définitivement rompu et vidé de toute substance, de sorte qu’il ne serait de toute façon pas fondé à se prévaloir de l’art. 3 al. 1 et 2 let. a Annexe I ALCP (dans ce sens CDAP PE.2014.0449 du 8 juillet 2015; PE.2013.0061 du 31 mai 2013). Le recourant n’invoque du reste aucune disposition de l’ALCP dont il y aurait lieu de déduire un droit à la poursuite de son séjour en Suisse. Dès lors, celui-ci doit être apprécié à l’aune du droit interne, soit aux conditions de la LEtr et de ses dispositions d’application (Directives OLCP précitées, ch. 7.4.3). 3. Le recourant fait valoir en substance que les conditions permettant le renouvellement de son autorisation de séjour seraient réunies et que l’autorité intimée aurait constaté à tort le contraire. a) Le recourant ne peut pas se prévaloir de l'art. 50 LEtr, applicable aux conjoints de ressortissants suisses (art. 42 LEtr) ou de titulaires d'une autorisation d'établissement (art. 43 LEtr), à l'exclusion des conjoints de bénéficiaires d'une autorisation de séjour (art. 44 LEtr). Il fait en revanche valoir le texte de l'art. 77 OASA,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 (al. 1 let. b et al. 2). a)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cependant être interprétés de manière identique à ceux de l'art. 50 al. 1 LEtr (arrêts PE.2015.0052 du 19 novembre 2015 consid. 2a; PE.2015.0002 du 17 août 2015 consid. 3; PE.2015.0006 du 11 juin 2015 consid. 6). b) La durée de l'union conjugale d'au moins trois ans, requise par les art. 50 al. 1 let. a LEtr et 77 al. 1 a OASA, se calcule depuis la date du mariage, à condition que la cohabitation ait lieu en Suisse, jusqu'à ce que les époux cessent d'habiter sous le même toit ( ATF 136 II 113 consid. 3.2 i.f. et 3.3). Cette limite de trente-six mois est absolue et ne peut être assouplie, même de quelques jours (ATF 140 II 289 consid. 3.4.3). La notion d'union conjugale au sens de l’art. 50 al. 1 let. a LEtr ne se confond pas avec celle de mariage. Alors que ce dernier peut être purement formel, l'union conjugale implique en principe la vie en commun des époux, sous réserve des exceptions mentionnées à l'art. 49 LEtr (arrêt 2C_565/2009 du 18 février 2010 consid. 2.1.2 et les réf. citées). Les conditions de la durée de l'union conjugale et de l'intégration réussie posées à l'art. 50 al. 1 let. a LEtr doivent par ailleurs être cumulativement remplies (ATF 140 II 289 consid. 3.4.3; 136 II 113 consid. 3.3.3). c)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Un cas d’application peut se présenter dans toutes les situations génératrices de discrimination post-conjugale, ainsi lorsqu’une femme divorcée avec enfant retourne dans un système patriarcal ou en cas d’échec d’une union conclue sous la contrainte ou résultant de la traite d’êtres humains (ATF 137 II 345 consid. 3.2.2 p. 349; v. en outre arrêt PE.2009.0398 du 24 mars 2010). De même, la mort du conjoint ne constitue pas un motif conduisant nécessairement à la prolongation de l'autorisation en vertu de l'art. 50 al. 1 let. b LEtr; cette situation peut toutefois, suivant les circonstances personnelles auxquelles l’étranger survivant sera exposé en cas de retour dans son pays, impliquer la poursuite du séjour en Suisse (ibid. et ATF 137 II 1 consid. 4.1 p. 8).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d) En la présence espèce, que l’on retienne la date du mariage que le recourant a contracté avec B.________ à Berlin, le ******** 2011, ou celle du ******** 2012, il appert de toute façon que la communauté conjugale et son épouse n’a pas duré trois ans, au sens où l’entend l’art. 77 al. 1 let. a OASA. Au cours de son audition devant les enquêteurs, le recourant a lui-même reconnu que les époux vivaient séparés depuis le mois d’août 2014 et B.________ a indiqué qu’elle avait quitté le domicile conjugal le 1 er septembre 2014. Or, le recourant n’allègue nullement que la vie commune aurait repris postérieurement à cette dernière date. On pourrait même sérieusement en douter puisqu’il entend refaire sa vie avec sa nouvelle compagne. La vie commune entre les époux a donc duré, dans l’hypothèse la plus favorable pour le recourant, trente-trois mois et dix-huit jours. Par conséquent, l’une des conditions cumulatives de l’art. 77 al. 1 let. a OASA n’étant pas remplie, l’on peut laisser indécis le point de savoir si le recourant s’est bien intégré en Suisse. Le recourant fait cependant valoir que la continuation de son séjour en Suisse s’imposerait pour des raisons personnelles majeures, vu l’art. 77 al. 1 let. b et al. 2 OASA. Il ne fait pas état de violences domestiques mais rappelle qu’il vit en Suisse depuis quatorze ans; toutefois, jusqu’en novembre 2011 à tout le moins, son séjour était illégal. Cette dernière circonstance n’entre dès lors pas en considération pour l'appréciation d'un cas personnel d'extrême gravité (cf. dans le même sens, arrêts PE.2016.0303 du 10 janvier 2017 consid. 5b; PE.2016.0206 du 7 novembre 2016 consid. 5b/dd; PE.2015.0103 du 15 décembre 2015 consid. 5c; PE.2013.0163 du 11 juillet 2013 consid. 2b; PE 2009.0026 du 11 mars 2009 consid. 4). Les éléments du dossier n’établissement en quoi la relation du recourant avec la Suisse soit si étroite qu'on ne saurait exiger de sa part qu'il retourne dans son pays d'origine. Certes, il a suivi un cours de français, au terme duquel un certificat lui a été délivré. De même, il exerce actuellement un emploi, ce qui toutefois n’a pas toujours été le cas puisqu’il a perçu l’assistance publique durant quelques mois. Il se prévaut en outre de la carte de vote qui lui a été délivrée pour les élections communales de 2016, bien qu’il ne puisse prétendre à la qualité d’électeur puisqu’il n’est pas au bénéfice d'une autorisation depuis dix ans au moins (cf. art. 5 al. 2 let. b de la loi cantonale du 16 mai 1989 sur l'exercice des droits politiques (LEDP; RSV 160.01). Tous ces éléments ne démontrent pas que intégration du recourant puisse être qualifiée d’exceptionnelle. Au surplus, le recourant est âgé de trente-sept ans et est en bonne santé; à tout le moins, le contraire n’est pas allégué. Il n’aura guère de peine à se réadapter à l’environnement dans son pays d’origine, dans lequel il a tout de même passé ses vingt-trois premières années. 4. Le recourant évoque sans doute la décision récente des autorités du canton de Genève de procéder à la régularisation de ressortissants étrangers dans une situation comparable au demeurant à la sienne. Il se plaint à cet égard d’une inégalité de traitement. Il perd de vue, ce faisant, que le principe qu’il invoque ne s’applique qu’au sein d’une même collectivité, dans la mesure où celle-ci agit effectivement dans le domaine de ses compétences législatives ou administratives (cf. Jacques Dubey/Jean-Baptiste Zufferey, Droit administratif général, Bâle 2014, n°661, p. 231). Or, les autorités cantonales sont chargées, dans leur domaine de compétence, d’exécuter la législation en la matière (cf. art. 88 al. 1 OASA). Le domaine de compétence des autorités du canton de Genève s’étend aux étrangers résidant sur le territoire de ce canton (cf. art. 12 al. 1 LEtr).   Le recourant, qui réside dans le canton de Vaud, n’est par conséquent pas se plaindre d’une inégalité de traitement du fait que les autorités de ce canton n’aient pas entrepris, dans l’application de la LEtr, une démarche similaire à celles des autorités genevoises. A cela s’ajoute que le caractère de la décision prise par celles-ci est éminemment politique et qu’il est douteux que le recourant puisse en retirer en l’état un droit. 5. Les considérants qui précèdent conduisent ainsi au rejet du recours et à la confirmation de la décision attaquée. Un émolument judiciaire sera mis à la charge du recourant, qui succombe (art. 49 al. 1, 91 et 99 LPA-VD et art. 4 al. 1 du Tarif cantonal du 28 avril 2015 des frais judiciaires et des dépens en matière administrative [TFJDA; RSV 173.36.5.1]). Vu le sort du recours, l’allocation de dépens n’entre pas en ligne de compte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