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PE.2017.0131 vom 28. November 2017</w:t>
      </w:r>
    </w:p>
    <w:p>
      <w:r>
        <w:t>VD Tribunal cantonal, 2017-11-28, FR</w:t>
      </w:r>
    </w:p>
    <w:p>
      <w:r>
        <w:rPr>
          <w:b/>
        </w:rPr>
        <w:t xml:space="preserve">Quelle: </w:t>
      </w:r>
      <w:r>
        <w:t>https://mcp.opencaselaw.ch/entscheid/vd_omni_PE.2017.0131</w:t>
      </w:r>
    </w:p>
    <w:p>
      <w:r>
        <w:t>FR: VD_OMNI PE.2017.0131 du 28 novembre 2017</w:t>
      </w:r>
    </w:p>
    <w:p>
      <w:r>
        <w:t>IT: VD_OMNI PE.2017.0131 del 28 novembre 2017</w:t>
      </w:r>
    </w:p>
    <w:p>
      <w:pPr>
        <w:pStyle w:val="Heading2"/>
      </w:pPr>
      <w:r>
        <w:t>Regeste</w:t>
      </w:r>
    </w:p>
    <w:p>
      <w:r>
        <w:t>A.________ /Service de la population (SPOP) | Refus de transformer un permis F en permis B. Recourant qui vit en Suisse depuis 20 ans, mais qui n'est autonome financièrement que depuis novembre 2014 et qui fait l'objet de nombreuses poursuites et actes de défaut de biens, d'un montant de 82'067 fr. 60, montant qui a encore augmenté depuis qu’il a entamé une activité lucrative et qu'il a acquis son autonomie financière. Outre sa situation financière obérée, le recourant ne fait pas état d'une intégration sociale particulièrement poussée, ni d'une réussite professionnelle remarquable, ni d'une maladie grave ne pouvant être soignée qu'en Suisse, pas plus que d’autres circonstances qui feraient de son cas un cas de rigueur. Pour ce qui concerne les infractions pénales commises par le recourant, elles ont à présent été radiées de son casier judiciaire et il n’y a pas lieu de leur accorder une importance déterminante.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l'autorité intimée de transformer l'admission provisoire (livret F) du recourant en autorisation de séjour (permis B). 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(cf. arrêt TF 2D_67/2015 du 3 novembre 2015 consid. 3.2).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TAF C-5769/2009 du 31 janvier 2011 consid. 4, cité notamment in : PE.2015.0411 du 9 mars 2016 consid. 2a). L'art. 31 al. 1 OASA,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PE.2016.0108 du 13 février 2017 consid. 3c). Il y a lieu de se fonder sur les relations familiales de l'intéressé en Suisse et dans sa patrie, sur son état de santé, sur sa situation professionnelle, sur son intégration sociale, etc.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A cet égard, les relations de travail, d'amitié ou de voisinage que le requérant a pu nouer pendant son séjour ne constituent normalement pas des liens si étroits avec la Suisse qu'ils justifieraient à eux seuls l'octroi d'une autorisation de séjour.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PE.2016.0108 du 13 février 2017 consid. 3c et les arrêts cités ). b) Une autorisation de séjour ne peut être octroyée en présence d'un motif de révocation d'une autorisation (PE.2014.0412 du 3 décembre 2014). En particulier, l'art. 62 let. e LEtr permet à l'autorité compétente de révoquer une autorisation de séjour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De jurisprudence constante, l'ancien Tribunal administratif puis la Cour de droit administratif et public ont considéré que la dépendance à l'assistance publique faisait obstacle à toute transformation d'un permis F en permis B (arrêts PE.2013.0114 du 9 septembre 2013 consid. 4d; PE.2011.0397 du 10 juillet 2012). Dans ce cadre, il a notamment été relevé que la détention d'un permis F n'était pas un obstacle en soi à une intégration professionnelle en Suisse et que le titulaire du permis F ne saurait pas conséquent prétendre à l'octroi d'un permis B au seul motif qu'il éprouve des difficultés à trouver du travail (PE.2013.0114 cité consid. 4d; PE.2011.0038 du</w:t>
      </w:r>
    </w:p>
    <w:p>
      <w:r>
        <w:rPr>
          <w:b/>
        </w:rPr>
        <w:t>E. 4</w:t>
      </w:r>
    </w:p>
    <w:p>
      <w:r>
        <w:t>Les considérants qui précèdent conduisent au rejet du recours et à la confirmation de la décision attaquée. Vu l'issue du pourvoi, les frais de justice seront mis à la charge du recourant, qui succombe et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