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PE.2017.0116 vom 20. September 2017</w:t>
      </w:r>
    </w:p>
    <w:p>
      <w:r>
        <w:t>VD Tribunal cantonal, 2017-09-20, FR</w:t>
      </w:r>
    </w:p>
    <w:p>
      <w:r>
        <w:rPr>
          <w:b/>
        </w:rPr>
        <w:t xml:space="preserve">Quelle: </w:t>
      </w:r>
      <w:r>
        <w:t>https://mcp.opencaselaw.ch/entscheid/vd_omni_PE.2017.0116</w:t>
      </w:r>
    </w:p>
    <w:p>
      <w:r>
        <w:t>FR: VD_OMNI PE.2017.0116 du 20 septembre 2017</w:t>
      </w:r>
    </w:p>
    <w:p>
      <w:r>
        <w:t>IT: VD_OMNI PE.2017.0116 del 20 settembre 2017</w:t>
      </w:r>
    </w:p>
    <w:p>
      <w:pPr>
        <w:pStyle w:val="Heading2"/>
      </w:pPr>
      <w:r>
        <w:t>Regeste</w:t>
      </w:r>
    </w:p>
    <w:p>
      <w:r>
        <w:t>A.________ et B.________ /Service de l'emploi (SDE), Service de la population (SPOP) | C'est sans abus de son pouvoir d'appréciation que l'autorité intimée a refusé de délivrer une autorisation de séjour avec activité lucrative à un ressortissant israëlien, engagé par une entreprise d'importation et de vente de cosmétiques. Les connaissances de l'intéressé n’ont pas été sanctionnées par l’obtention d’un diplôme d’une haute école, ni par un diplôme professionnel complété par une formation supplémentaire. Dès lors, il ne peut être considéré comme étant un spécialiste au sens où l’entend l’art. 23 al. 1 LEtr. Le profil du candidat recherché correspond à celui de l'intéressé. Il apparaît ainsi que le poste en question a bien été taillé sur mesure pour celui-ci, compte tenu de ses compétences particulières et de son expérience. Du reste, les recherches de l'employeur sont postérieures à la conclusion du contrat de travail avec l'intéressé, dont l'engagement paraît résulter de la convenance personnelle de cet employeur. Rejet du recours.</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Dans leur dernière écriture, les recourants n’ont pas formellement requis la tenue d’une audience. Ils ont expliqué qu’ils se tenaient à la disposition du Tribunal pour s’expliquer oralement dans le cadre d’une audience de jugement.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les représentants d’A.________ et le recourant B.________.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pour recueillir les explications orales de la recourante.</w:t>
      </w:r>
    </w:p>
    <w:p>
      <w:r>
        <w:rPr>
          <w:b/>
        </w:rPr>
        <w:t>E. 3</w:t>
      </w:r>
    </w:p>
    <w:p>
      <w:r>
        <w:t>Le litige porte sur la question de savoir si c'est à bon droit que l'autorité intimée a refusé d'accorder une autorisation de séjour avec activité lucrative en faveur d’B.________. Ce dernier est ressortissant d’un Etat avec lequel la Suisse n’est liée par aucune convention, de sorte que cette question doit être résolue au regard du droit interne exclusivement, soit la LEtr et ses ordonnances d’application. a)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de la loi vaudoise sur l’emploi du 5 juillet 2005 [LEmp; RSV 822.11])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prévoient en particulier ce qui suit (octobre 2013, version actualisée au 3 juillet 2017):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PE.2017.0084 du 16 août 2017; PE.2015.0069 du 6 août 2015; PE.2012.0285 du 4 décembre 2012). d) En dérogation à l’art. 21 al. 1 LEtr, peuvent être admis les étrangers titulaires d'un diplôme d'une haute école ou d'une haute école spécialisée suisse qui souhaitent exercer une activité lucrative qui revêt un intérêt scientifique ou économique prépondérant (art. 21 al. 3 LEtr). Ces étrangers sont admis provisoirement pendant six mois à compter de la fin de leur formation ou de leur perfectionnement en Suisse pour trouver une telle activité. Dans ce cas, l'employeur ne doit notamment plus démontrer qu'il n'a pu trouver une personne correspondant au profil requis en dépit de ses recherches (ATAF C-6074/2010 du 19 avril 2011 consid. 5.2). L'art. 21 al. 3 LEtr a pour but de permettre à la Suisse de tirer un profit direct des investissements consentis pour la spécialisation des étudiants étrangers (arrêt PE.2014.0102 du 9 mai 2014 consid. 2a, réf. citée). Les directives précitées du SEM prévoient à cet égard (ch. 4.4.6): «(…)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L'admission de cette catégorie de personnes a lieu sans examen de la règle sur l'ordre de priorité des travailleurs (art. 21, al. 3, LEtr). Restent en revanche applicables les autres conditions d'admission pour l'exercice d'une activité lucrative, prévues aux art. 20 ss LEtr. La décision préalable des autorités cantonales du marché du travail doit être soumise pour approbation au SEM. Le séjour pour trouver un emploi après la fin des études est réglé par l'art.21 al. 3 LEtr (voir également ch. 5.1.3)».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in: FF 2010 373, ch. 3.1 p. 384).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ainsi que le prévoit l'art. 5 al. 2 LEtr (cf. ATAF C-7180/2014 du 7 juillet 2015 consid. 6.2, références jurisprudentielles citées). e) Aux termes de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 Sur ce point, il a été jugé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f) En outre, peuvent notamment être admis, en dérogation aux al. 1 et 2, les personnes possédant des connaissances ou des capacités professionnelles particulières, si leur admission répond de manière avérée à un besoin (art. 23 al. 3 let. c LEtr). Sont habilités à se réclamer de cette dernière disposition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(ATAF C-5184/2014, déjà cité, consid. 5.4.2, réf. citée ).</w:t>
      </w:r>
    </w:p>
    <w:p>
      <w:r>
        <w:rPr>
          <w:b/>
        </w:rPr>
        <w:t>E. 4</w:t>
      </w:r>
    </w:p>
    <w:p>
      <w:r>
        <w:t>En la présente espèce, trois éléments doivent, à la lumière de ce qui précède, être opposés à la demande et conduisent à la confirmation de la décision attaquée. a) En premier lieu, on relève que le séjour d’B.________ en Suisse, au terme de sa formation, a atteint son but qui était de perfectionner son apprentissage de la langue française. Il n’a du reste pas obtenu un diplôme d'une haute école ou d'une haute école spécialisée suisse. Par conséquent, il n’est pas possible de retenir que l’activité lucrative que souhaite pouvoir exercer l’intéressé chez A.________ revête un intérêt scientifique ou économique prépondérant au sens où l’entend l’art. 21 al. 3 LEtr. Dès lors, l’octroi d’une dérogation à l'ordre de priorité, n’entre pas en considération en l’occurrence. b) Si l’on se fie aux explications de la recourante, B.________ devrait occuper une fonction de cadre dans l’entreprise et devrait être considéré comme un travailleur particulièrement qualifié. On relève cependant que l’intéressé ne peut se prévaloir d’aucun diplôme délivré par une haute école. En outre, son expérience professionnelle n’est pas particulièrement fournie; il ressort en effet de son curriculum vitae qu’il travaille dans la vente de produits cosmétiques depuis six ans seulement, dont deux en Suisse, alors qu’il était au bénéfice d’une autorisation de séjour pour études. En outre, ses connaissances linguistiques, hébreu excepté, sont relativement courantes dans la vente. Comme le relève l’autorité intimée, la connaissance de cette dernière langue n’apparaît au surplus pas comme étant indispensable dans le domaine de la vente internationale, où l’anglais est bien davantage pratiqué. Pour l’essentiel, ce sont surtout ses connaissances de la technique Bella Contour et des produits dérivés des minéraux de la Mer Morte, dont A.________ cherche à développer la vente en Suisse, qui ont valu à l’intéressé d’être engagé par cette dernière en qualité de directeur des ventes. Les recourants vont jusqu’à évoquer des connaissances «pointues» des ingrédients actifs dérivés de la Mer Morte. Il n’en demeure pas moins que ces connaissances n’ont pas été sanctionnées par l’obtention d’un diplôme d’une haute école, ni par un diplôme professionnel complété par une formation supplémentaire. Dès lors, s’il ne peut être considéré comme étant un cadre, B.________ n’est pas pour autant un spécialiste au sens où l’entend l’art. 23 al. 1 LEtr. On peut au surplus laisser ouverte la question de savoir si, vu l’art. 23 al. 3 let. c LEtr, ce dernier peut être assimilé à un travailleur moins qualifié, possédant des connaissances ou des capacités professionnelles particulières, dans la mesure où il paraît douteux que son admission réponde à un besoin. On peut en effet se demander s’il est réellement indispensable, pour qu’A.________ puisse se développer, qu’B.________ obtienne un permis de séjour en Suisse pour y travailler. On retire en effet de la description des activités du poste que ce dernier pourrait s’exercer pour l’essentiel, sinon de façon exclusive, en Israël. c) Compte tenu de ses connaissances de la technique Bella Contour et des produits dérivés des minéraux de la Mer Morte, A.________ a engagé une première fois B.________ à son service en 2013, en qualité de manager régional. On relève cependant qu’à l’époque, c’est au bénéfice d’une autorisation de séjour pour études que l’intéressé, qui devait perfectionner sa connaissance de la langue française, a pu exercer cette activité, laquelle devait nécessairement s’exercer à temps partiel. Alors que le but de son séjour en Suisse était atteint à l’échéance d’une première prolongation de son autorisation de séjour, B.________ s’est vu proposer par A.________ un nouveau contrat de travail en qualité de directeur des ventes. Les deux parties ont du reste signé ce contrat le 1 er mai 2016 déjà, date à laquelle B.________ devait par ailleurs débuter sa nouvelle activité. Afin de pouvoir démontrer, préalablement à la demande d’autorisation de séjour avec activité lucrative, la réalité de ses recherches d’un candidat sur le marché indigène du travail, A.________ a fait publier une offre d’emploi le 27 juillet 2016 pour un poste de gestionnaire de magasin. Or, l’on constate que le profil du candidat recherché correspond, dans les grandes lignes à tout le moins, à celui d’B.________. Il est en effet exigé du candidat qu’il soit capable de vendre des produits de la Mer Morte avec une expérience d'au moins cinq ans et se soit, notamment, familiarisé avec la méthode des ultrasons Bella Contour. Il apparaît ainsi que le poste en question a bien été taillé sur mesure pour l’intéressé, compte tenu de ses compétences particulières et de son expérience. Du reste, ses recherches à cet égard sont postérieures à la conclusion du contrat de travail avec B.________. Ainsi, A.________ n’envisageait nullement d’engager une tierce personne et aucun des deux seuls candidats ayant répondu à cette offre n’a été retenu. Par conséquent, force est de constater que l'engagement d’B.________ résulte uniquement de la convenance personnelle d’A.________. Ce faisant, cette dernière n'a pas respecté l'ordre de priorité auquel est soumis l'engagement d'un ressortissant israélien.</w:t>
      </w:r>
    </w:p>
    <w:p>
      <w:r>
        <w:rPr>
          <w:b/>
        </w:rPr>
        <w:t>E. 5</w:t>
      </w:r>
    </w:p>
    <w:p>
      <w:r>
        <w:t>Au vu des considérants qui précèdent, le recours doit être rejeté et la décision entreprise, confirmée. Les frais de justice sont mis à la charge des recourants, qui succombent (art. 49 al. 1 LPA-VD).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