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PE.2017.0062 vom 29. Mai 2017</w:t>
      </w:r>
    </w:p>
    <w:p>
      <w:r>
        <w:t>VD Tribunal cantonal, 2017-05-29, FR</w:t>
      </w:r>
    </w:p>
    <w:p>
      <w:r>
        <w:rPr>
          <w:b/>
        </w:rPr>
        <w:t xml:space="preserve">Quelle: </w:t>
      </w:r>
      <w:r>
        <w:t>https://mcp.opencaselaw.ch/entscheid/vd_omni_PE.2017.0062</w:t>
      </w:r>
    </w:p>
    <w:p>
      <w:r>
        <w:t>FR: VD_OMNI PE.2017.0062 du 29 mai 2017</w:t>
      </w:r>
    </w:p>
    <w:p>
      <w:r>
        <w:t>IT: VD_OMNI PE.2017.0062 del 29 maggio 2017</w:t>
      </w:r>
    </w:p>
    <w:p>
      <w:pPr>
        <w:pStyle w:val="Heading2"/>
      </w:pPr>
      <w:r>
        <w:t>Regeste</w:t>
      </w:r>
    </w:p>
    <w:p>
      <w:r>
        <w:t>A.________/Service de la population (SPOP) | C'est sans abus de son pouvoir d'appréciation que le SPOP a refusé de prolonger l'autorisation de séjour d'un ressortissant d'un Etat tiers, marié à une ressortissante communautaire. Non seulement la vie commune n'a jamais repris depuis l'annonce par cette dernière de leur séparation, mais dans le meilleur des cas pour le recourant, elle a pris fin au bout de trente-trois mois. Au surplus, la situation du recourant, âgé de 27 ans et en bonne santé, n’est nullement constitutive d’un cas de rigueur, justifiant qu’il soit autorisé à poursuivre son séjour en Suisse.</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a) Le conjoint d'une personne ressortissante d'une partie contractante ayant un droit de séjour et ses descendants ont le droit de s'installer avec elle (art. 7 let. d ALCP et art. 3 par. 1 et 2 Annexe I ALCP). Sont considérés comme membres de la famille, quelle que soit leur nationalité (par. 2):  son conjoint et leurs descendants de moins de 21 ans ou à charge (let. a); ceux-ci ont, quelle que soit leur nationalité, le droit d'accéder à une activité économique (par. 5). Le Secrétariat d’Etat aux migrations (SEM) a publié des Directives et commentaires concernant l'introduction progressive de la libre circulation des personnes (Directives OLCP), état au 1 er octobre 2016, qui, au ch. 7.4.2, rappellent que le  droit  de  séjour  du  conjoint  du  ressortissant UE/AELE détenteur du droit originaire n’existe par conséquent qu’autant et aussi longtemps que les époux sont mariés et que le détenteur du droit originaire séjourne en Suisse au titre de l’ALCP. b) En principe, le droit de séjour du conjoint du titulaire du droit originaire ne s’éteint pas en cas de séparation même durable des époux. Ce droit perdure en effet aussi longtemps que le mariage n'est pas dissous juridiquement (divorce ou décès; Directives OLCP, ch. 7.4.2). Il y a toutefois contournement des prescriptions en matière d’admission lorsque le conjoint étranger invoque un mariage qui n’existe plus que formellement et qui est maintenu dans le seul but d’obtenir ou de ne pas perdre une autorisation de séjour (ibid.). Le Tribunal fédéral a confirmé à cet égard qu’en cas de séparation des époux, il y a abus de droit à invoquer l’art. 3 par.1 de l’Annexe I ALCP lorsque le lien conjugal est vidé de toute substance (ATF 139 II 393 consid. 2 p. 395/396; 130 II 113 consid. 9.5 p. 134). Tel est le cas lorsqu’il existe des éléments concrets permettant de dire que les époux ne veulent pas (ou ne veulent plus) mener une véritable vie conjugale (ATF 139 II 393 consid. 2.2 p. 395/396; 130 II 113 consid. 10.2 p. 135). c) En la présente espèce, le recourant a épousé B.________, citoyenne de l’UE, le 25 janvier 2013 et a obtenu une autorisation de séjour au titre du regroupement familial avec cette dernière, le 19 février 2013. Or, les époux vivent séparés depuis le 1 er janvier 2015 et n’ont pas repris la vie commune depuis lors. Le 23 octobre 2015, B.________ a informé l’administration communale de ce qu’elle vivait séparée du recourant; c’est à la même époque, aux dires de celui-ci, qu’elle lui aurait fait part de sa décision irrévocable de mettre un terme à leur vie commune. Sans doute, leur mariage n’a, à ce jour, pas été dissous par la voie judiciaire, le Tribunal civil n’ayant pas été saisi d’une demande en divorce. Il n’en demeure pas moins que la vie commune n’a jamais repris, à tout le moins depuis cette dernière date. Force est ainsi de constater que les époux n’entendent plus mener une véritable vie conjugale, de sorte que le recourant se prévaut de manière abusive du regroupement familial et de l’autorisation de séjour UE/AELE qui en découle.</w:t>
      </w:r>
    </w:p>
    <w:p>
      <w:r>
        <w:rPr>
          <w:b/>
        </w:rPr>
        <w:t>E. 3</w:t>
      </w:r>
    </w:p>
    <w:p>
      <w:r>
        <w:t>mai 2013 consid. 2.1). b)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(arrêt 2C_777/2013 du 17 février 2014 consid. 3.2).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2C_385/2016 du 4 octobre 2016 consid. 4.1; 2C_352/2014 du 18 mars 2015 consid. 4.3; 2C_930/2012 du 10 janvier 2013 consid. 3.1). L'absence de liens sociaux très étroits en Suisse n'exclut pas non plus d'emblée l'existence d'une intégration réussie, de même que l'absence de vie associative (arrêts 2C_352/2014 du 18 mars 2015 consid. 4.3; 2C_930/2012 du 10 janvier 2013 consid. 3.1). S’agissant toutefois d’un étranger ayant été condamné à cinq reprises sur une période de quatorze ans à plusieurs peines totalisant 176 jours-amende et 3'220 fr. d'amende, le Tribunal fédéral a confirmé à cet égard que la commission d’infractions pénales perpétrées au cours du séjour en Suisse, loin d'être anodines (en particulier l'engagement de personnel étranger illégal et la violation grave des dispositions de la LCR), démontrait que l’intéressé ne respectait pas l'ordre juridique helvétique, de sorte que l'examen global de l'autorité précédente niant l'intégration réussie ne procédait pas d'une appréciation arbitraire des faits ni ne violait le droit fédéral des étrangers (arrêt 2C_385/2016 du 4 octobre 2016 consid. 4.2/4.3; dans le même sens, arrêts 2C_838/2015 du 3 mars 2016 consid. 4.3; 2C_516/2015 du 28 décembre 2015 consid. 3.4; 2C_730/2014 du 24 novembre 2014, consid. 3.3). c) Ainsi qu’on l’a vu ci-dessus, le recourant et B.________ ont contracté mariage en Suisse le 25 janvier 2013 et le 23 octobre 2015, cette dernière a annoncé aux autorités communales qu’elle vivait désormais séparée de son époux. Quand bien même le recourant espérait le contraire, il n’est pas contesté que la vie commune n’a jamais repris depuis lors. Ainsi, dans le meilleur des cas pour le recourant, celle-ci a ainsi définitivement pris fin au bout de trente-trois mois. Contrairement à ce que le recourant soutient, l’union conjugale, au sens où l’entend l’art. 50 al. 1 let. a LEtr, n’a pas duré trois ans. C’est sans abus de son pouvoir d’appréciation que l’autorité intimée a constaté ce qui précède. Par conséquent, la première des deux conditions cumulatives de cette disposition n’étant pas réalisée, l’on peut laisser indécis le point de savoir si le recourant s’est bien intégré en Suisse.</w:t>
      </w:r>
    </w:p>
    <w:p>
      <w:r>
        <w:rPr>
          <w:b/>
        </w:rPr>
        <w:t>E. 4</w:t>
      </w:r>
    </w:p>
    <w:p>
      <w:r>
        <w:t>Il reste cependant à vérifier si le recourant peut invoquer une autre disposition afin de pouvoir continuer à séjourner en Suisse.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la réintégration fortement compromise dans le pays d'origine (art. 50 al. 2 LEtr) et le cas dans lequel le conjoint duquel dépend le droit de séjour de l'étranger décède ( ATF 137 II 345 consid. 3.2.2 p. 349; 136 II 1 consid. 5.3 p. 4). Cette situation s’apparente en quelque sorte au cas de rigueur selon l’art. 30 al. 1 let. b LEtr. Par ailleurs, l’art. 31 al. 1 OASA, qui se rapporte autant à l’art. 30 al. 1 let. b qu’à l’art. 50 al. 1 let. b LEtr,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2A.679/2006 du 9 février 2007).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 b) Le recourant ne fait état d’aucune violence conjugale; il n’y a donc pas lieu de s’y attarder. Il fait pour l’essentiel valoir que son intégration en Suisse est bonne, dès lors qu’il a toujours travaillé et n’a jamais eu recours aux prestations de l’assistance publique. Or, l’on peut avoir quelques hésitations sur ce point, dès lors que cette intégration est loin d’être exceptionnelle. En effet, le recourant a séjourné et travaillé de façon illégale en Suisse avant d’y contracter mariage; en outre, plusieurs poursuites lui ont été notifiées. Surtout, le recourant se garde d’indiquer que sa réintégration au Kosovo, son pays d’origine, serait fortement compromise. On constate à cet égard qu’il a vécu ses vingt-deux premières années au Kosovo, dont il parle la langue. Âgé de vingt-sept ans, il est encore jeune et ne fait état d’aucun problème particulier de santé. Séparé de son épouse et sans enfant, il ne peut se prévaloir de liens particulièrement étroits avec la Suisse, au point que l’on ne saurait lui imposer de vivre dans un autre pays. Par conséquent, force est de constater que la situation du recourant n’est nullement constitutive d’un cas de rigueur, justifiant qu’il soit autorisé à poursuivre son séjour en Suisse.</w:t>
      </w:r>
    </w:p>
    <w:p>
      <w:r>
        <w:rPr>
          <w:b/>
        </w:rPr>
        <w:t>E. 5</w:t>
      </w:r>
    </w:p>
    <w:p>
      <w:r>
        <w:t>Il suit de ce qui précède que le recours doit être rejeté et la décision attaquée, confirmée. Vu le sort du recours, les frais de justice seront mis à la charge du recourant, qui ne saurait prétendre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