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PE.2017.0025 vom 11. Juli 2017</w:t>
      </w:r>
    </w:p>
    <w:p>
      <w:r>
        <w:t>VD Tribunal cantonal, 2017-07-11, FR</w:t>
      </w:r>
    </w:p>
    <w:p>
      <w:r>
        <w:rPr>
          <w:b/>
        </w:rPr>
        <w:t xml:space="preserve">Quelle: </w:t>
      </w:r>
      <w:r>
        <w:t>https://mcp.opencaselaw.ch/entscheid/vd_omni_PE.2017.0025</w:t>
      </w:r>
    </w:p>
    <w:p>
      <w:r>
        <w:t>FR: VD_OMNI PE.2017.0025 du 11 juillet 2017</w:t>
      </w:r>
    </w:p>
    <w:p>
      <w:r>
        <w:t>IT: VD_OMNI PE.2017.0025 del 11 luglio 2017</w:t>
      </w:r>
    </w:p>
    <w:p>
      <w:pPr>
        <w:pStyle w:val="Heading2"/>
      </w:pPr>
      <w:r>
        <w:t>Regeste</w:t>
      </w:r>
    </w:p>
    <w:p>
      <w:r>
        <w:t>A.________/Service de la population (SPOP), Service de l'emploi Contrôle du marché du travail | Confirmation du refus d'octroi d'un permis de travail à un ressortissant libanais diplômé de l'American Graduate School of Business pour un poste d'employé qualifié. L'intéressé n'est pas au bénéfice d'un diplôme délivré par une haute école suisse et l'employeur n'a pas déployé tous les efforts que l'on pouvait attendre de lui pour trouver un travailleur sur le marché indigène ou européen. La maîtrise de la langue arabe n'est pas un élément déterminant, quand bien-même l'employeur indique vouloir développer ses activités avec Dubai et le Liban.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litige porte sur le refus d’octroi d’une autorisation de séjour avec activité lucrative pour un travailleur étranger.</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Sous réserve de circonstances particulières, la LEtr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"des ressortissants" des Etats membres de la Communauté européenne et de la Suisse un droit de séjour, d’entrée, d’accès à une activité économique salariée, d’établissement en tant qu’indépendant et le droit de demeurer sur le territoire des parties contractantes (let a). b) En l'espèce, B.________ étant ressortissant libanais, soit d'un Etat tiers, il ne saurait se prévaloir de l’ALCP. Il est par conséquent soumis aux dispositions de la LEtr.</w:t>
      </w:r>
    </w:p>
    <w:p>
      <w:r>
        <w:rPr>
          <w:b/>
        </w:rPr>
        <w:t>E. 4</w:t>
      </w:r>
    </w:p>
    <w:p>
      <w:r>
        <w:t>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le Secrétariat d'Etat aux migrations (SEM) (directive "I. Domaine des étrangers " , état au 26 octobre 2016, ch. 4.3.2 p. 90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En dérogation à l’art. 21 al. 1 LEtr, un étranger titulaire d'un diplôme d'une haute école suisse peut être admis si son activité lucrative revêt un intérêt scientifique ou économique prépondérant. Dans ce cas, l'employeur ne doit notamment plus démontrer qu'il n'a pu trouver une personne correspondant au profil requis en dépit de ses recherches (TAF C-6074/2010 du 19 avril 2011 consid. 5.2; PE.2014.0102 du 9 mai 2014 consid. 2a).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l’art. 23 al. 1 et 2 LEtr, peuvent être admis, selon l’al. 3 let. c de cette disposition, notamment les personnes possédant des connaissances ou des capacités professionnelles particulières, si leur admission répond de manière avérée à un besoin. D'après la jurisprudence constante du Tribunal cantonal,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par des annonces dans la presse et auprès de l’ORP pendant la période précédant immédiatement le dépôt de la demande de main-d’œuvre étrangère (cf. notamment arrêts PE.2016.0291 du 18 octobre 2016 consid. 3a; PE.2015.0253 du 31 août 2015 consid. 1a; PE.2014.0230 du 24 avril 2015 consid. 2a; PE.2014.0483 du 14 avril 2015 consid. 2c).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TF 2C_217/2009 consid. 3.2). S'agissant d'une ressortissante roumaine, le tribunal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 En l'espèce, l'autorité intimée a relevé, dans ses déterminations du 14 mars 2017, que l'intéressé parlait certes trois langues mais que l'on ne pouvait considérer qu'il s'agissait de qualifications professionnelles particulières au sens de l'art. 23 LEtr. En effet, il n'apparaissait pas, s'agissant en particulier de l'arabe, que cette langue soit nécessaire pour le poste de gestionnaire de fortune, dès lors que cette activité pouvait être exercée en anglais. A cet égard, l'argument, avancé par l'employeur, d'un hypothétique développement de ses activités avec Dubaï et le Liban, pour lequel la connaissance de la langue arabe serait un atout, ne suffit pas à mettre en cause l'appréciation de l'autorité intimée. Par ailleurs, on peut également se poser la question de savoir si l'intéressé a réellement achevé une formation complète, dès lors qu'il ressort des pièces que celle-ci devait être sanctionnée par l'obtention d'un diplôme en octobre 2017. Cela étant, l'intéressé, comme l'a relevé à juste titre l'autorité intimée, n'est (ou ne sera) pas au bénéfice d'un diplôme d'une haute école suisse, si bien qu'un éventuel droit à une autorisation de séjour avec activité lucrative doit être examiné sous l'angle du principe de priorité. Dans ce cadre, force est d'admettre que l'employeur n'a pas déployé tous les efforts que l'on pouvait attendre de lui pour trouver un travailleur sur le marché indigène ou européen. En effet, celui-ci se contente d'alléguer qu'il a effectué en vain des recherches par l'intermédiaire de sociétés de recrutement et du "bureau de l'emploi Suisse" sans justifier de telles démarches. Or, sans vouloir minimiser les qualités du profil de l'intéressé, il ne fait aucun doute qu'il est possible de trouver un profil analogue au sien sur le marché de l'emploi indigène ou européen. A la lecture du mémoire de recours, il apparaît que l'employeur a délibérément porté son choix sur l'intéressé, dès lors que celui-ci connaissait déjà l'entreprise pour y avoir effectué un stage. Si une telle démarche peut se comprendre pour des raisons pratiques évidentes, il n'en reste pas moins qu'elle ne respecte pas le principe de priorité fixé dans la loi. En définitive, l'autorité intimée n'a pas abusé de son pouvoir d'appréciation en refusant à l'intéressé l'octroi d 'une autorisation de séjour avec activité lucrative. 5.                Compte tenu des considérants qui précèdent, le recours doit être rejeté et la décision attaquée confirmée. Vu l’issue du recours, un émolument judiciaire sera mis à la charge de la recourante qui succombe (art. 49 al. 1, 91 et 99 LPA-VD). Il n'y a pas lieu d'octroyer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