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PE.2016.0486 vom 17. April 2018</w:t>
      </w:r>
    </w:p>
    <w:p>
      <w:r>
        <w:t>VD Tribunal cantonal, 2018-04-17, FR</w:t>
      </w:r>
    </w:p>
    <w:p>
      <w:r>
        <w:rPr>
          <w:b/>
        </w:rPr>
        <w:t xml:space="preserve">Quelle: </w:t>
      </w:r>
      <w:r>
        <w:t>https://mcp.opencaselaw.ch/entscheid/vd_omni_PE.2016.0486</w:t>
      </w:r>
    </w:p>
    <w:p>
      <w:r>
        <w:t>FR: VD_OMNI PE.2016.0486 du 17 avril 2018</w:t>
      </w:r>
    </w:p>
    <w:p>
      <w:r>
        <w:t>IT: VD_OMNI PE.2016.0486 del 17 aprile 2018</w:t>
      </w:r>
    </w:p>
    <w:p>
      <w:pPr>
        <w:pStyle w:val="Heading2"/>
      </w:pPr>
      <w:r>
        <w:t>Regeste</w:t>
      </w:r>
    </w:p>
    <w:p>
      <w:r>
        <w:t>A.________/Service de la population (SPOP) | Recours contre la révocation de l'autorisation de séjour et le renvoi prononcé par le SPOP. Requête de procéder à diverses auditions rejetée par appréciation anticipée des preuves et du fait que le recourant n'a pas répliqué (consid. 2). La situation professionelle du recourant, national portugais au bénéfice de l'ALCP, ne s'est pas améliorée. Elle se limite à deux contrats de trois mois de sorte que l'on peut douter de sa qualité de travailleur communautaire. Dépourvu de moyens financiers, débiteur de diverses dettes et bénéficiaire du RI dans une mesure importante, il n'a pas établi sa capacité financière (consid. 5). Condamné huit fois en cinq ans à des jours-amendes ou peines privatives pour des infractions à la circulation routière, contre le patrimoine et les tiers, le risque de récidive apparaît élevé. Le recourant n'a pas démontré de prise de conscience de son comportement et des efforts à entreprendre et représente ainsi une menace actuelle et réelle pour l'ordre public au sens de l'art. 5 al. 1 Ann. I ALCP (consid. 6). Existence d'un motif de révocation au sens des art. 33 al. 3 et 62 LEtr. et mesure proportionnée (consid. 7). Pas d'application de l'art. 8 CEDH (consid. 8).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Le recourant a demandé à être entendu personnellement, dans le but implicite d’exposer de vive voix sa situation et de démontrer son sérieux, sa détermination et sa motivation à poursuivre sa vie en Suisse.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 218 consid. 2.3 p. 222/223; 142 III 48 consid. 4.1.1 p. 52/53; 141 V 557 consid. 3.1 p. 564, et les arrêts cités).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Dans le cas présent, il n’est pas nécessaire d’entendre personnellement le recourant. Ce dernier a agi avec le concours d’un mandataire professionnel. Il a pu faire valoir l’ensemble de ses arguments dans le cadre de son recours et n'a pas estimé utile de donner suite à la possibilité qui lui a été offerte de répliquer. Quoi qu'il en soit, son audition ne serait pas de nature à modifier la position du tribunal telle qu'exposée ci-dessous, de sorte que, par appréciation anticipée de la valeur probante de ce moyen de preuve, la cour renonce à entendre personnellement le recourant. Il en va de même en ce qui concerne l'audition des membres de sa famille, le recourant n'ayant au surplus pas répondu à la possibilité de produire des déclarations écrites des divers intéressés.</w:t>
      </w:r>
    </w:p>
    <w:p>
      <w:r>
        <w:rPr>
          <w:b/>
        </w:rPr>
        <w:t>E. 3</w:t>
      </w:r>
    </w:p>
    <w:p>
      <w:r>
        <w:t>Le recourant se plaint de la révocation de son autorisation de séjour UE/AELE. De nationalité portugaise, il peut se prévaloir de l'Accord du 21 juin 1999 entre la Confédération suisse, d'une part, et la Communauté européenne et ses Etats membres, d'autre part, sur la libre circulation des personnes (ALCP; RS 0.142.112.681).</w:t>
      </w:r>
    </w:p>
    <w:p>
      <w:r>
        <w:rPr>
          <w:b/>
        </w:rPr>
        <w:t>E. 3.2</w:t>
      </w:r>
    </w:p>
    <w:p>
      <w:r>
        <w:t>et les références citées; cf. aussi Zünd/Arquint Hill, Beendigung der Anwesehait, Entfernung und Fernhaltung, in Ausländerrecht, Uebersax/Rudin/Hugi Yar/Geiser [ éd. ] , 2 e éd., Bâle/Berne/Zurich 2008, § 8.41). En revanche, la perte du statut de travailleur ALCP met fin à l'égalité de traitement prévue par l'art. 9 Annexe I ALCP et donc au régime plus favorable sous cet angle de l'ALCP. 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CJUE du 26 mai 1993 C-171/91 Tsiotras, Rec. 1993 I-2925 point 14)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et 131 II 339 consid. 3.4 p. 347; 2C_1162/2014 du 8 décembre 2015 consid. 3.6; 2C_412/2014 du 27 mai 2014 consid. 3.2 et 2C_390/2013 du 10 avril 2014 consid. 3.2, 4.3). b) Dans le cas présent, il n'est pas certain que l'ALCP trouve application dans la situation du recourant. Ce dernier n'exerce en effet plus d'activité lucrative depuis longtemps. Il a certes produit un contrat de mission conclu à sa sortie de prison, d'une durée de trois mois (18 juillet 2016 au 17 octobre 2016). Depuis le 24 novembre 2017, le recourant a conclu un nouveau contrat de mission, d'une durée maximale de trois mois, soit jusqu'à fin février 2018 environ. Dans ces conditions, il est permis d'en déduire que la situation professionnelle de l'intéressé ne s'est en réalité pas améliorée à ce jour. Or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Cela étant, il est permis de douter en l'occurrence de la qualité de travailleur communautaire du recourant. Dépourvu de moyens financiers, bénéficiaire du RI, débiteurs de plusieurs dettes, ce dernier ne peut en outre obtenir une autorisation de séjour en vertu de l'art. 24 Annexe I ALCP. On ne peut ainsi admettre que le recourant, qui a déjà bénéficié de l'aide sociale dans une mesure relativement importante, ait démontré ses capacités financières. 6. a) Quoi qu'il en soit, un éventuel droit de séjourner en Suisse pourrait être limité par des mesures d'ordre ou de sécurité publics, au sens de l'art. 5 al. 1 Annexe I ALCP (cf. ATF 139 II 121 consid. 5.3 p. 125 s.).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(ATF 139 II 121 consid. 5.3 p. 125 s. et les références citées). b) Le 1 er octobre 2016 est entrée en vigueur la loi fédérale du 20 mars 2015 mettant en œuvre l’art. 121 al. 3 à 6 Cst., relatif au renvoi des étrangers criminels, qui a notamment modifié le CP ainsi que la LEtr s'agissant de l'expulsion des étrangers ayant commis des crimes et des délits (cf. Camille Perrier Depeursinge, L'expulsion selon les art. 66a à 66d du Code pénal suisse, RPS 2017, p. 389 ss; Petit commentaire du Code pénal, Michel Dupuis et al. (éd.), 2 e éd., Bâle 2017, Remarques préliminaires aux articles 66a à 66d CP; Stéphane Grodecki / Yvan Jeanneret, L'expulsion judiciaire, in Droit pénal – Evolutions en 2018, Anne-Sylvie Dupont / André Kuhn (éd.), Neuchâtel 2017, p. 127 ss; Marcel Brun / Alberto Fabbri, Die Landesverweisung – neue Aufgaben und Herausforderungen für die Strafjustiz, in recht 2017, p. 231 ss). Ces nouvelles dispositions ne s'appliquent toutefois qu'aux infractions commises après le 1 er octobre 2016. Or, en l'espèce, les infractions commises par le recourant l'ont été avant cette date. Il n'y a ainsi pas lieu d'examiner l'applicabilité de ces nouvelles dispositions. c) Le recourant n'a certes pas perpétré d'actes violents ni d'ordre sexuel. En outre, ses condamnations n'ont, chacune prise individuellement, pas atteint un degré de gravité important. La gravité qualifiée de l'atteinte peut toutefois également être réalisée en cas de violation répétée, grave et sans scrupule, de la sécurité et de l'ordre publics par des comportements relevant du droit pénal et montrant que l'étranger n'a ni la volonté ni la capacité de respecter à l'avenir le droit (ATF 137 II 297 consid. 3.3 p. 303 s.; 2C_373/2012 consid. 3.2). Le Tribunal fédéral a ainsi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commis d'actes violents, d'ordre sexuel ou en matière de stupéfiants, les récidives justifiaient la révocation de son permis (ATF 2C_839/2011 du 28 février 2012 consid. 3.1 et 3.2). La Haute Cour a également confirmé la révocation du permis d'établissement d'un ressortissant italien, arrivé enfant en Suisse, condamné à sept reprises en neuf ans, la peine totale encourue avoisinant les quatre années, essentiellement pour des infractions contre le patrimoine (ATF 2C_862/2012 du 12 mars 2013 consid. 3.2). En l'occurrence, le recourant a été condamné, dans un intervalle de cinq ans (2010 à 2015), à huit reprises, à des peines essentiellement de jours-amende (5 peines de ce type) et, à l’occasion de ses deux dernières condamnations, à des peines privatives de liberté de 180 jours, respectivement 40 jours. Ces condamnations concernent aussi bien des infractions en matière de circulation routière que contre le patrimoine (dommages à la propriété, vol, faux dans les titres, appropriation illégitime, abus de confiance) et les tiers (injure, menaces, contrainte, voies de fait, tentative de lésions corporelles simples et dénonciation calomnieuse). En ce qui concerne les infractions en relation avec la loi fédérale sur la circulation routière, le recourant ne saurait les minimiser au vu de leur récurrence et de l’absence d’effet des sanctions prononcées dans ce cadre. De manière générale, les comportements ayant donné lieu au prononcé des condamnations pénales concernent systématiquement les mêmes infractions. Au regard de l'art. 5 al. 1 Annexe I ALCP, n'est pas tant décisive l'importance de la peine que l'incapacité du recourant à améliorer son comportement et sa propension à commettre régulièrement les mêmes erreurs (ATF 2C_367/2015 du 3 février 2016 consid. 3.2). En l'espèce, le risque de récidive apparaît élevé, compte tenu du nombre et de la régularité des infractions commises par le recourant. Par ailleurs, ce dernier n'a pas démontré avoir réellement pris conscience de son comportement délictueux et des efforts qu'on peut attendre de lui pour qu'il se remette sur le droit chemin. Alors qu'il avait annoncé dans son recours la production ultérieure d'un contrat de travail à compter de février 2017 et la preuve de son engagement de rembourser le BRAPA dès janvier 2017, le recourant n'a rien versé au dossier, sous réserve de la preuve d'un engagement temporaire très limité à partir de novembre 2017. En outre, le 25 janvier 2018, le Tribunal correctionnel de l'arrondissement de Lausanne a rendu un jugement concernant le recourant dans lequel il constatait que le recourant s'était rendu coupable d'appropriation illégitime, abus de confiance commis au préjudice des proches ou des familiers, vol, escroquerie, utilisation frauduleuse d'un ordinateur commise au préjudice des proches ou des familiers, extorsion et chantage, diffamation, injure, menaces, menaces qualifiées, contrainte, violation d'une obligation d'entretien et faux dans les titres. Il a révoqué la libération conditionnelle octroyée le 3 juin 2016 par Ministère public du canton de Fribourg et ordonné la réintégration du recourant. Celui-ci a été condamné à une peine privative de liberté d'ensemble de 18 mois, sous déduction d'un jour de détention provisoire avant jugement, et à une peine pécuniaire de 20 jours-amende. Par le même arrêt, le tribunal a jugé que le recourant était débiteur de divers tiers des montants respectifs de 2'000 fr., de 26'669 fr. 55, de 3'093 fr. 85, de 558 fr. le tribunal a aussi jugé que les frais de la cause, par 25'934 fr. 05, devraient être remboursés à l'Etat par le recourant dès que sa situation financière le permettrait. Certes, cet arrêt n'est pas entré définitivement en force, vu qu’il a fait l’objet d’un recours au Tribunal cantonal. En vertu de la présomption d’innocence, il n’y a pas lieu de tenir compte de la peine prononcée par ce jugement. On peut toutefois relever deux éléments à cet égard. D'une part, le recourant a reconnu une partie des faits puisqu’il ressort des considérants dudit arrêt qu’il n’a pas contesté tous les faits qui lui étaient reprochés et qu’il n’avait d’ailleurs pas conclu à un acquittement mais à une peine très modérée (à savoir une peine pécuniaire, voire une peine privative de liberté de six mois maximum avec sursis); d'autre part, le jugement retient que le recourant a durant l’audience passé " son temps à rejeter la faute sur autrui et allant même jusqu’à inverser les rôles. Ce comportement dénote une absence totale de prise de conscience qui, évidemment, ne peut que conduire à formuler un pronostic totalement défavorable ". Dans ces conditions, le recourant représente bien une menace actuelle et réelle d'une certaine gravité pour l'ordre public suisse. A supposer que le recourant puisse bénéficier d'un droit à une autorisation de séjour fondé sur l'ALCP, l'art. 5 al. 1 Annexe I ALCP ferait ainsi obstacle à son octroi. Il convient dès lors d'examiner enfin si le recourant peut se prévaloir d'un droit de séjour fondé sur la LEtr ou sur la CEDH. 7. Conformément à l'art. 33 LEtr, l'autorisation de séjour est octroyée pour un séjour de plus d'une année, dont le but est déterminé. Selon l'alinéa 3 de cette disposition, sa durée de validité est limitée, mais peut être prolongée s'il n'existe aucun motif de révocation au sens de l'art. 62 LEtr. a)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(ATF 2C_317/2016 du 14 septembre 2016 consid. 4.4). En l'occurrence, le recourant a fait l'objet de huit condamnations, notamment pour des vols et pour avoir conduit un véhicule automobile sans permis de conduire. Certes, ces condamnations ne sanctionnent pas des actes d'une gravité extrême. La multiplication des infractions commises sur une période de cinq ans permet cependant de conclure que le recourant a attenté de manière répétée à la sécurité et à l'ordre publics en Suisse. Il s'ensuit qu'un motif de révocation au sens de l'art. 62 LEtr peut lui être opposé. b) La révocation, respectivement le non renouvellement d'une autorisation de séjour doit être conforme au principe de proportionnalité, exprimé de manière générale à l'art. 5 al. 2 Cst. et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2C_459/2013 du 21 octobre 2013 consid. 3.2; 2C_816/2012 du 6 mars 2013 consid. 5.1). c) Dans le cas présent, le refus de prolonger l' autorisation de séjour du recourant n'apparaît pas comme une mesure disproportionnée. Le recourant était déjà âgé de plus de dix-huit ans lorsqu'il est arrivé en Suisse en 2006. A peine plus de quatre ans plus tard, il a commencé à commettre des délits, qui l'ont rapidement conduit à émarger à l'aide sociale. Un retour dans son pays d'origine n'aurait donc pas pour effet de le priver d'une situation enviable qu'il aurait pu se créer en Suisse. Compte tenu des nombreuses et régulières condamnations dont il a fait l'objet, ainsi qu'en raison de sa dépendance aux prestations de l'aide sociale, son intérêt à pouvoir poursuivre son séjour en Suisse auprès de ses parents, ainsi que de ses frères et sœurs, n'est pas déterminant, par rapport à l'intérêt public lié à la préservation de l'ordre et de la sécurité publics. On ne voit pas que le prononcé d'un simple avertissement puisse avoir un quelconque effet sur le recourant, compte tenu de son incapacité évidente à améliorer son comportement. 8. Dans la mesure où le recourant est le fils de proches parents (père, mère, frère et sœur) autorisés à séjourner en Suisse, il convient encore d'examiner s'il peut se prévaloir d'un droit à une autorisation de séjour fondé sur l'art. 8 CEDH. a)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137 I 284 consid. 1.2 p. 287; 135 I 143 consid. 1.3.1 p. 145; 130 II 281 consid. 3.1 p. 286). La notion de résidence durable en Suisse suppose que la personne ait la nationalité suisse, une autorisation d'établissement ou un droit certain à une autorisation de séjour (ATF 137 I 351 consid. 3.1 p. 354; 135 II 143 consid. 1.3.1 p. 145 s.). L'art.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ou d'un handicap ( ATF 137 I 154 consid. 3.4.2 p. 159; 129 II 11 consid. 2 p.</w:t>
      </w:r>
    </w:p>
    <w:p>
      <w:r>
        <w:rPr>
          <w:b/>
        </w:rPr>
        <w:t>E. 4</w:t>
      </w:r>
    </w:p>
    <w:p>
      <w:r>
        <w:t>On relèvera d'emblée que, divorcé d'une compatriote portugaise depuis le</w:t>
      </w:r>
    </w:p>
    <w:p>
      <w:r>
        <w:rPr>
          <w:b/>
        </w:rPr>
        <w:t>E. 9</w:t>
      </w:r>
    </w:p>
    <w:p>
      <w:r>
        <w:t>janvier 2018, le recourant ne peut prétendre à une éventuelle autorisation de séjour fondée sur l'art. 3 de l'Annexe I ALCP. 5. a) La loi fédérale du 16 décembre 2005 sur les étrangers (LEtr; RS 142.20) ne s'applique aux ressortissants des Etats membres de l'Union européenne que lorsque l'ALCP n'en dispose autrement ou lorsqu'elle prévoit des dispositions plus favorables (art. 2 al. 2 LEtr). Comme l' ALCP ne réglemente pas la révocation de l' autorisation de séjour UE/AELE, c'est l'art. 62 LEtr qui est applicable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2C_317/2016 du 14 septembre 2016 consid. 4.1). Toutefois, il ne faut pas perdre de vue que l'ALCP prévoit un régime plus favorable que celui de l'art. 62 LEtr en faveur du travailleur salarié au bénéfice d'un permis de séjour UE/AELE exerçant une activité salariée en Suisse, en ce sens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 2 Annexe I ALCP; cf. ATF 2C_412/2014 du 27 mai 2014 consid.</w:t>
      </w:r>
    </w:p>
    <w:p>
      <w:r>
        <w:rPr>
          <w:b/>
        </w:rPr>
        <w:t>E. 13</w:t>
      </w:r>
    </w:p>
    <w:p>
      <w:r>
        <w:t>s.; 120 Ib 257 consid. 1d p. 260 s.). La protection découlant de l'art. 8 CEDH n'est cependant pas absolue. Une ingérence dans l'exercice du droit au respect de la vie privée et familiale est possible, selon l'art.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présent, les prétendues relations étroites du recourant avec ses proches parents ne sont pas établies, celui-ci n'ayant pas été en mesure de produire des attestations écrites de ces derniers. Le recourant n'allègue ni de démontre par ailleurs que ces parents seraient dans un état de dépendance à son égard de nature à justifier la délivrance d'une autorisation de séjour en sa faveur. 9. Au vu des considérants qui précèdent, le recours doit être rejeté et la décision attaquée confirmée. La juge instructrice a octroyé l’assistance judiciaire au recourant le 3 janvier 2017. Il convient dès lors de laisser les frais à la charge de l'Etat. Pour l’indemnisation du mandataire d’office, les dispositions régissant l’assistance judiciaire en matière civile sont applicables par analogie (art. 18 al. 5 LPA-VD). L’art. 39 al. 5 du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pour un avocat et de 110 fr. pour un avocat-stagiaire (art. 2 RAJ). En l'espèce, selon la liste des opérations produites le 15 décembre 2017, la mandataire d’office du recourant indique que son stagaire a consacré 11 h 60 pour les opérations de la cause et elle-même 0 h 20, ce qui paraît approprié aux nécessités du cas. Il convient dès lors d’allouer au mandataire d’office une indemnité de 1'312 fr. (11,6 x 110 = 1'276 + 0,2 x 180 = 36), montant auquel s’ajoute celui des débours, par 65 fr. 60, soit 1'377 fr. 60. Compte tenu de la TVA au taux de 8% (les prestations ayant été délivrées avant le 1 er janvier 2018), l’indemnité totale s’élève ainsi à 1'487 fr. 80 (1'377.60 + 110.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