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PE.2016.0485 vom 1. Mai 2017</w:t>
      </w:r>
    </w:p>
    <w:p>
      <w:r>
        <w:t>VD Tribunal cantonal, 2017-05-01, FR</w:t>
      </w:r>
    </w:p>
    <w:p>
      <w:r>
        <w:rPr>
          <w:b/>
        </w:rPr>
        <w:t xml:space="preserve">Quelle: </w:t>
      </w:r>
      <w:r>
        <w:t>https://mcp.opencaselaw.ch/entscheid/vd_omni_PE.2016.0485</w:t>
      </w:r>
    </w:p>
    <w:p>
      <w:r>
        <w:t>FR: VD_OMNI PE.2016.0485 du 1 mai 2017</w:t>
      </w:r>
    </w:p>
    <w:p>
      <w:r>
        <w:t>IT: VD_OMNI PE.2016.0485 del 1 maggio 2017</w:t>
      </w:r>
    </w:p>
    <w:p>
      <w:pPr>
        <w:pStyle w:val="Heading2"/>
      </w:pPr>
      <w:r>
        <w:t>Regeste</w:t>
      </w:r>
    </w:p>
    <w:p>
      <w:r>
        <w:t>A.________/Service de la population (SPOP) | Confirmation de la révocation de l'autorisation de séjour de longue durée UE/AELE délivrée à un ressortissant communautaire ayant perdu son emploi moins d'un an après son entrée en Suisse, En outre, ne disposant, depuis la perte de cet emploi, d’aucune perspective réelle de travail et dépendant des prestations de l'assistance publique, il ne peut prétendre au droit de demeurer au moins six mois en Suisse, afin d'y chercher un nouvel emploi. Au surplus, aucun élément ne permet de retenir qu'il représenterait un cas de rigueur, justifiant qu’il soit dérogé aux conditions d’admission du séjour en Suisse.</w:t>
      </w:r>
    </w:p>
    <w:p>
      <w:pPr>
        <w:pStyle w:val="Heading2"/>
      </w:pPr>
      <w:r>
        <w:t>Erwägungen</w:t>
      </w:r>
    </w:p>
    <w:p>
      <w:r>
        <w:rPr>
          <w:b/>
        </w:rPr>
        <w:t>E. 1</w:t>
      </w:r>
    </w:p>
    <w:p>
      <w:r>
        <w:t>LPA-VD par renvoi de l’art. 99 LPA-VD), est recevable. Il y a lieu d’entrer en matière.</w:t>
      </w:r>
    </w:p>
    <w:p>
      <w:r>
        <w:rPr>
          <w:b/>
        </w:rPr>
        <w:t>E. 2</w:t>
      </w:r>
    </w:p>
    <w:p>
      <w:r>
        <w:t>Citoyen de l’UE, le recourant peut se prévaloir des droits conférés par l'Accord du 21 juin 1999 entre la Confédération suisse, d’une part, et la Communauté européenne et ses Etats membres, d’autre part, sur la libre circulation des personnes (ALCP; RS 0.142.112.681). Le recourant est entré en Suisse le 16 octobre 2015 et a bénéficié d’une autorisation de séjour dès son engagement le 20 octobre 2015. Or, il a perdu son emploi au 30 juin 2016 et depuis lors, n’a pas retrouvé de nouvel emploi. Il importe dès lors de déterminer si, au vu de ce qui précède, le recourant se trouve dans une situation de libre circulation des personnes, plus précisément, s’il dispose encore à ce jour de la qualité de travailleur au sens de l’art. 6 Annexe I ALCP, par renvoi de l’art. 4 ALCP, et s’il peut se prévaloir de la protection accordée aux travailleurs définie dans cette disposition pour s’opposer à la révocation de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vertu de l'art. 23 al. 1 de l’ordonnance fédérale sur l'introduction de la libre circulation des personnes, du 22 mai 2002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Pour sa part, la Cour de céans a jugé que la personne qui n'a pas occupé un emploi d'une durée égale ou supérieure à un an ni occupé plusieurs emplois consécutifs d'une durée totale égale ou supérieure à un an n'a pas acquis le statut de travailleur selon l'art. 6 par. 1 Annexe I ALCP (arrêt PE.2013.0478 du 4 août 2014 consid. 2). Il a de même été jugé que le ressortissant communautaire n’ayant pas encore acquis le statut de travailleur au sens de l'art. 6 par. 1 Annexe I ALCP lorsqu'il a été frappé d'une incapacité de travail, ne saurait bénéficier de la protection conférée par cette dernière disposition (arrêt PE.2016.0182 du 2 décembre 2016 consid. 2b/aa). On rappelle que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(cf.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(arrêt TF 2C_495/2014 du 26 septembre 2014 consid. 3.1); les secondes, auxquelles sont assimilées les personnes qui ont occupé un emploi pendant une durée inférieure à un an et qui se retrouvent en situation de chômage involontaire, ne bénéficient pas de ces mêmes droits. Après la fin d'un emploi ayant duré moins d'une année, le ressortissant d'un état membre de l'ALCP, a toutefois le droit de demeurer au moins six mois en Suisse, afin d'y chercher un nouvel emploi (art. 2 par. 1 al. 2 Annexe I ALCP). Il doit en principe disposer des moyens financiers nécessaires à son entretien (cf. art. 18 al. 2 OLCP). Il pourra être tenu compte dans cette mesure des indemnités de chômage mais non des prestations de l'aide sociale (ATF 141 II 1 consid. 2.2.2). Enfin, encore faut-il relever qu'une autorisation de séjour UE/AELE ne peut être révoquée pour la seule raison qu'un ancien travailleur fait appel à l'aide sociale (arrêt 2C_412/2014 du 27 mai 2014 consid. 3.2; cf. en outre,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2C_1162/2014 du 8 décembre 2015 consid. 4.1). d) Dans le cas d’espèce, le recourant a perdu au 7 juin 2016 l’emploi qu’il a occupé durant huit mois dans la restauration et au bénéfice duquel une autorisation de séjour UE/AELE de longue durée lui a été délivrée. Il est demeuré, depuis lors, sans emploi et perçoit actuellement les prestations de l’assistance publique. Son dossier ayant été clôturé à l’ORP, il ne bénéficie d’aucune mesure d’insertion professionnelle, conformément aux art. 24 et ss de la loi cantonale du 5 juillet 2005 sur l’emploi (LEmp; RSV 822.11), lesquelles ont pour but d’améliorer l’aptitude au placement des demandeurs d’emploi. Le recourant expose sans doute qu’il recherche activement un nouvel emploi. Il précise avoir besoin d’un travail d’appoint pour financer d’autres projets, notamment artistiques. Il n’a toutefois produit qu’une seule et unique recherche à cet égard, soit la candidature qu’il a posée sur le site anibis.ch le 20 janvier 2017, pour un poste de chef de cuisine confirmé, pour lequel il n’est cependant pas qualifié, par surcroît. Force est ainsi de constater, au vu de ce qui précède, que le recourant n’a pas acquis la qualité de travailleur au sens de l’art. 6 par. 1 Annexe I ALCP, dès lors qu’il a exercé un emploi rémunéré durant moins d’une année. En outre, il ne dispose, depuis la perte de cet emploi, d’aucune perspective réelle de travail. Il n’est par conséquent pas fondé à invoquer l'art. 2 par. 1 al. 2 Annexe I ALCP.</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Le recourant séjournait en Suisse depuis moins de deux ans, plus précisément huit mois, lorsqu’il a perdu son emploi. En outre, une incapacité permanente de travail n’est ni alléguée, ni établie. Le recourant n’est par conséquent pas fondé à se prévaloir d’un droit de demeurer en Suisse au sens des dispositions précitées.</w:t>
      </w:r>
    </w:p>
    <w:p>
      <w:r>
        <w:rPr>
          <w:b/>
        </w:rPr>
        <w:t>E. 5</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le recourant dépend entièrement de l’assistance publique pour son entretien. Il ne fait état d’aucun autre moyen financier. Par conséquent, il ne remplit pas les conditions lui permettant de séjourner en Suisse sans exercer d’activité lucrative.</w:t>
      </w:r>
    </w:p>
    <w:p>
      <w:r>
        <w:rPr>
          <w:b/>
        </w:rPr>
        <w:t>E. 6</w:t>
      </w:r>
    </w:p>
    <w:p>
      <w:r>
        <w:t>Avant de confirmer, le cas échéant, la révocation de l’autorisation de séjour du recourant,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avant de soumettre le cas au SEM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Le recourant ne séjourne en Suisse que depuis dix-huit mois. Il ne peut pas raisonnablement soutenir y avoir créé des attaches plus profondes qu’avec son pays d’origine, où il a vécu les trente-deux premières années de son existence. Du reste, il ne fait pas état de liens particulièrement forts avec la Suisse. En outre, aucun élément du dossier ne permet de retenir que son intégration s’y révélerait particulièrement remarquable, puisqu’il n’y a travaillé que durant huit mois. Sans doute, le recourant tente au demeurant de se réinsérer dans le monde socio-professionnel. Toutefois, on rappelle à cet égard que depuis neuf mois au moins, il dépend entièrement de l’assistance publique pour son entretien et a contracté une dette envers la collectivité. Sans doute, le recourant rencontre actuellement d’importantes difficultés, eu égard à la fragilité de son équilibre psychique, aggravées au demeurant par les conditions dans lesquelles il a perdu son emploi. Il consulte régulièrement un psychiatre à ********. Il participe en outre chaque semaine à des entretiens thérapeutiques, dispensés par ******** SA, à ********. On note cependant que la pathologie dont il est atteint, le TDAH, était présente chez lui depuis son adolescence et il était déjà traité par une médication spécifique, au moment où il est venu en Suisse prendre un emploi. Quoi qu’il en soit, même si le recourant est toujours suivi et que son état demeure fragile, - bien qu’il dise espérer une amélioration et la reprise d’un nouveau travail, - le traitement qui lui est actuellement prescrit est dispensé dans son pays d’origine, la France étant pourvue d’infrastructures médicales, hospitalières et institutionnelles semblables à celles de la Suisse. Comme l’observe l’autorité intimée, les troubles de la santé qui affectent actuellement le recourant peuvent parfaitement être pris en charge dans son pays de provenance. Rien n’empêche le recourant de retrouver son statut de travailleur en France, et d’y poursuivre son traitement. c) Par conséquent, aucun élément ne permet de retenir que le recourant représenterait un cas de rigueur, justifiant qu’il soit dérogé aux conditions d’admission du séjour en Suisse.</w:t>
      </w:r>
    </w:p>
    <w:p>
      <w:r>
        <w:rPr>
          <w:b/>
        </w:rPr>
        <w:t>E. 7</w:t>
      </w:r>
    </w:p>
    <w:p>
      <w:r>
        <w:t>a) Au surplus, le recourant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 b) Enfin, le recourant étant célibataire et sans enfant vivant en Suisse, il n’est pas fondé à invoquer l’art. 8 CEDH, disposition garantissant le respect de la vie familiale.</w:t>
      </w:r>
    </w:p>
    <w:p>
      <w:r>
        <w:rPr>
          <w:b/>
        </w:rPr>
        <w:t>E. 8</w:t>
      </w:r>
    </w:p>
    <w:p>
      <w:r>
        <w:t>Les considérants qui précèdent conduisent ainsi le Tribunal à rejeter le recours et à confirmer la décision attaquée. Le sort du recours commande qu’un émolument judiciaire soit mis à la charge du recourant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