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PE.2016.0477 vom 14. Mai 2018</w:t>
      </w:r>
    </w:p>
    <w:p>
      <w:r>
        <w:t>VD Tribunal cantonal, 2018-05-14, FR</w:t>
      </w:r>
    </w:p>
    <w:p>
      <w:r>
        <w:rPr>
          <w:b/>
        </w:rPr>
        <w:t xml:space="preserve">Quelle: </w:t>
      </w:r>
      <w:r>
        <w:t>https://mcp.opencaselaw.ch/entscheid/vd_omni_PE.2016.0477</w:t>
      </w:r>
    </w:p>
    <w:p>
      <w:r>
        <w:t>FR: VD_OMNI PE.2016.0477 du 14 mai 2018</w:t>
      </w:r>
    </w:p>
    <w:p>
      <w:r>
        <w:t>IT: VD_OMNI PE.2016.0477 del 14 maggio 2018</w:t>
      </w:r>
    </w:p>
    <w:p>
      <w:pPr>
        <w:pStyle w:val="Heading2"/>
      </w:pPr>
      <w:r>
        <w:t>Regeste</w:t>
      </w:r>
    </w:p>
    <w:p>
      <w:r>
        <w:t>A.________/Service de la population (SPOP) | Citoyen de l'UE, le recourant ne travaille plus depuis plusieurs années et dépend entièrement de l'assistance publique pour son entretien. Il a dès lors perdu le statut de travailleur au sens de l'ALCP, au plus tard à l'échéance de son délai-cadre pour les indemnités de chômage, soit plus de dix-huit mois après la fin de sa dernière activité lucrative, respectivement au terme de la période pour laquelle il a effectivement obtenu ces indemnités. Bien que la cause ait été suspendue à cet effet, le recourant n'avait toujours pas retrouvé un emploi à la reprise. Soigné contre sa dépendance à l'alcool, le recourant ne soutient pas que son incapacité de travail persiste ou serait permanente, et affirme au contraire avoir bon espoir de recouvrer une autonomie et un emploi; il ne peut dès lors se prévaloir d'un droit de demeurer en Suisse. Le traitement qui lui est actuellement prescrit est également dispensé dans son pays d’origine; le recourant ne représente donc pas un cas de rigueur. C'est par conséquent à juste titre que l'autorité a refusé de renouveler son autorisation de séjour UE/AELE de longue durée et a prononcé son renvoi.</w:t>
      </w:r>
    </w:p>
    <w:p>
      <w:pPr>
        <w:pStyle w:val="Heading2"/>
      </w:pPr>
      <w:r>
        <w:t>Erwägungen</w:t>
      </w:r>
    </w:p>
    <w:p>
      <w:r>
        <w:rPr>
          <w:b/>
        </w:rPr>
        <w:t>E. 1</w:t>
      </w:r>
    </w:p>
    <w:p>
      <w:r>
        <w:t>LPA-VD par renvoi de l’art. 99 LPA-VD), est recevable. Il y a lieu d’entrer en matière.</w:t>
      </w:r>
    </w:p>
    <w:p>
      <w:r>
        <w:rPr>
          <w:b/>
        </w:rPr>
        <w:t>E. 2</w:t>
      </w:r>
    </w:p>
    <w:p>
      <w:r>
        <w:t>Citoyen de l’UE, le recourant peut se prévaloir des droits conférés par l'Accord du 21 juin 1999 entre la Confédération suisse, d’une part, et la Communauté européenne et ses Etats membres, d’autre part, sur la libre circulation des personnes (ALCP; RS 0.142.112.681). Le recourant a perdu son emploi dans le courant de l’année 2012. Depuis le 1er août 2013, il bénéficie des prestations de l’assistance publique et n’a plus exercé d’emploi depuis lors, exception faite de deux stages, non rémunérés et d'une brève activité de moins d'une semaine fin octobre 2017. Il importe dès lors de déterminer si, au vu de ce qui précède, le recourant se trouve dans une situation de libre circulation des personnes, plus précisément, s’il dispose encore à ce jour de la qualité de travailleur au sens de l’art. 6 Annexe I ALCP, par renvoi de l’art. 4 ALCP, et s’il peut se prévaloir de la protection accordée aux travailleurs définie dans cette disposition pour s’opposer à la révocation de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[TF] 2C_390/2013 du 10 avril 2014 consid. 3.1 et les références citées; CDAP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TF 2C_1061/2013 du 14 juillet 2015 consid. 4.4). En revanche, il a considéré qu'une activité à taux partiel donnant lieu à un salaire mensuel d'environ 600 à 800 fr. apparaissait tellement réduite et peu rémunératrice qu'elle devait être tenue pour marginale et accessoire (cf. TF 2C_1137/2015 du</w:t>
      </w:r>
    </w:p>
    <w:p>
      <w:r>
        <w:rPr>
          <w:b/>
        </w:rPr>
        <w:t>E. 6</w:t>
      </w:r>
    </w:p>
    <w:p>
      <w:r>
        <w:t>Avant de confirmer, le cas échéant, la révocation de l’autorisation de séjour du recourant,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30 al. 1 let. b LEtr et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après avoir soumis le cas au Secrétariat d’Etat aux migrations pour approbation (cf. art. 30 al. 2 et 99 LEtr, 85 OASA et 5 let. d de l'Ordonnance du DFJP du 13 août 2015 relative aux autorisations soumises à la procédure d'approbation et aux décisions préalables dans le domaine du droit des étrangers [RS 142.201.1]; CDAP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128 II 200 consid. 4; 124 II 110 consid. 2 et les arrêts cités; v. également CDAP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[TAF] C-6116/2012 du 18 février 2014 consid. 7.3.1; C-4970/2011 du 17 octobre 2013 consid. 7.6.1 et les références citées; C-1888/2012 du 23 juillet 2013 consid. 6.4). En revanche, le seul fait d'obtenir en Suisse des prestations médicales supérieures à celles offertes dans le pays d'origine ne suffit pas à justifier une exception aux mesures de limitation (CDAP PE.2013.0416 du 21 mai 2014). De même, l'étranger qui entre pour la première fois en Suisse en souffrant déjà d'une sérieuse atteinte à la santé ne saurait se fonder uniquement sur ce motif médical pour poursuivre son séjour en Suisse (ATF 128 II 200 consid. 5.3 et les références citées;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Le recourant séjourne en Suisse depuis plus de neuf ans; il ne peut pas prétendre y avoir tissé de liens aussi étroits et profonds qu’avec son pays d’origine, où il a vécu au moins ses trente-cinq premières années, avant de se rendre pour envrion trois ans en Belgique. En outre, aucun élément du dossier ne permet de retenir que son intégration en Suisse se révélerait particulièrement remarquable, puisqu’il n’y a effectué que des missions temporaires durant un peu moins de quatre ans. Sans doute, le recourant a effectué des stages et tente actuellement de retrouver une activité afin de se réinsérer dans le monde socio-professionnel. Toutefois, on rappelle à cet égard que depuis plus de quatre ans, le recourant dépend entièrement de l’assistance publique pour son entretien et a contracté une dette importante envers la collectivité. Sans doute, le recourant a-t-il déclaré souffrir, suite à sa période de chômage prolongée, d’un état dépressif sévère et d’une dépendance à l’alcool. On peut toutefois se poser la question de savoir s’il ne présentait pas déjà une forme de dépendance à l’alcool au moment où il est venu en Suisse prendre un emploi. Dans ses déterminations adressées le 13 juin 2016 au SPOP, le recourant a déclaré avoir appris à contrôler sa consommation d'alcool après avoir rejoint la Fondation ********. Quoi qu’il en soit, même si le recourant est toujours suivi et que son état demeure fragile, - bien qu’il dise espérer une amélioration et la reprise d’un nouveau travail, - le traitement qui lui est actuellement prescrit est également dispensé dans son pays d’origine, la France étant pourvue d’infrastructures médicales, hospitalières et institutionnelles semblables à celles de la Suisse. Comme l’observe l’autorité intimée, les troubles de la santé qui affectent actuellement le recourant peuvent parfaitement être pris en charge dans son pays de provenance. Rien n’empêche le recourant de retrouver son statut de travailleur en France, et de poursuivre son traitement visant la sortie de toute dépendance à la consommation d’alcool. c) Par conséquent, aucun élément ne permet de retenir que le recourant représenterait un cas de rigueur, justifiant qu’il soit dérogé aux conditions d’admission du séjour en Suisse.</w:t>
      </w:r>
    </w:p>
    <w:p>
      <w:r>
        <w:rPr>
          <w:b/>
        </w:rPr>
        <w:t>E. 7</w:t>
      </w:r>
    </w:p>
    <w:p>
      <w:r>
        <w:t>a) Même si cette question n’a pas été abordée, la question pourrait se poser de savoir si, compte tenu d’un séjour de plus de cinq ans en Suisse, le recourant ne pourrait pas prétendre à la délivrance d’une autorisation d’établissement, ceci conformément au Traité sur l'établissement des Français en Suisse et des Suisses en France, conclu le 23 février 1882 et en vigueur depuis le 16 mai 1882 (RS 0.142.113.491) en relation avec la Convention d'établissement conclue le 1 er août 1946 avec la France. Il n’en est rien cependant. Malgré l'existence d'un droit à l'octroi d'une autorisation d'établissement en vertu d'un accord de droit international, l'autorisation peut être refusée s'il existe un motif de renvoi au sens de l'art. 5 al. 1 let. c de la loi fédérale du 16 décembre 2005 sur les étrangers ([LEtr; RS 142.20]; cf. ATF 120 Ib 360ss) ou que la personne se trouve dans une situation de chômage depuis plus de douze mois consécutifs au moment du premier renouvellement de son autorisation de séjour (cf. art. 6 par. 1 Annexe I ALCP; cf. Directives OLCP, ch. 2.8.1). En outre, aux termes de l’art. 34 al. 2 let. b LEtr, l'autorité compétente peut octroyer une autorisation d'établissement à un étranger s’il n'existe aucun motif de révocation au sens de l'art. 62 LEtr. Or, cette dernière disposition prévoit, à son al. 1, qu’une autorisation de séjour peut être révoquée si le bénéficiaire ou une personne dont il a la charge dépend de l'aide sociale (let. e). b) In casu, le recourant a perdu son emploi après un séjour de moins de quatre ans en Suisse (octobre 2008 à mai 2012). Il a perdu le statut de travailleur, comme on l’a vu ci-dessus, et dépend de l’assistance publique pour son entretien depuis plus de quatre ans. Il se trouve par conséquent dans une situation où son autorisation de séjour UE/AELE de longue durée aurait dû être révoquée, conformément à l’art. 23 al. 1 OLCP. Cette autorisation ne peut du reste pas non plus être prolongée. Par conséquent, le recourant ne saurait prétendre à l’octroi d’une autorisation d’établissement. Même s'il avait acquis à un certain moment un droit à l'octroi d'une autorisation d'établissement, celle-ci aurait par la suite pu être révoquée en application de l'art. 63 al. 1 let. c LEtr; vu ce qui a été exposé au sujet du cas de rigueur, cette mesure aurait été proportionnée.</w:t>
      </w:r>
    </w:p>
    <w:p>
      <w:r>
        <w:rPr>
          <w:b/>
        </w:rPr>
        <w:t>E. 8</w:t>
      </w:r>
    </w:p>
    <w:p>
      <w:r>
        <w:t>a) Au surplus, le recourant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TAF E-3657/2014 du 20 octobre 2014; E-8787/2010 du 24 janvier 2011, ainsi que les références citées). Tel est le cas en l’occurrence. b) Enfin, le recourant étant célibataire et sans enfant vivant en Suisse, ayant vécu ici comme adulte moins d'une décennie, sans présenter une intégration particulière, il n’est pas fondé à invoquer l’art. 8 CEDH, disposition garantissant le respect de la vie familiale et privée.</w:t>
      </w:r>
    </w:p>
    <w:p>
      <w:r>
        <w:rPr>
          <w:b/>
        </w:rPr>
        <w:t>E. 9</w:t>
      </w:r>
    </w:p>
    <w:p>
      <w:r>
        <w:t>Les considérants qui précèdent conduisent ainsi le Tribunal à rejeter le recours et à confirmer la décision attaquée. Le sort du recours commande qu’un émolument judiciaire soit mis à la charge du recourant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