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PE.2016.0433 vom 2. Mai 2017</w:t>
      </w:r>
    </w:p>
    <w:p>
      <w:r>
        <w:t>VD Tribunal cantonal, 2017-05-02, FR</w:t>
      </w:r>
    </w:p>
    <w:p>
      <w:r>
        <w:rPr>
          <w:b/>
        </w:rPr>
        <w:t xml:space="preserve">Quelle: </w:t>
      </w:r>
      <w:r>
        <w:t>https://mcp.opencaselaw.ch/entscheid/vd_omni_PE.2016.0433</w:t>
      </w:r>
    </w:p>
    <w:p>
      <w:r>
        <w:t>FR: VD_OMNI PE.2016.0433 du 2 mai 2017</w:t>
      </w:r>
    </w:p>
    <w:p>
      <w:r>
        <w:t>IT: VD_OMNI PE.2016.0433 del 2 maggio 2017</w:t>
      </w:r>
    </w:p>
    <w:p>
      <w:pPr>
        <w:pStyle w:val="Heading2"/>
      </w:pPr>
      <w:r>
        <w:t>Regeste</w:t>
      </w:r>
    </w:p>
    <w:p>
      <w:r>
        <w:t>A.________ /Service de la population (SPOP) | Rejet de la demande d'autorisation de séjour présentée par une ressortissante brésilienne entrée en Suisse sans visa.</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ressortissante brésilienne, ne peut se prévaloir d’un traité qui lui accorderait un droit au séjour en Suisse. Sa situation s’examine au seul regard du droit interne, soit, en l’occurrence, la loi fédérale du 16 décembre 2005 sur les étrangers (LEtr; RS 142.20) et ses ordonnances d’application.</w:t>
      </w:r>
    </w:p>
    <w:p>
      <w:r>
        <w:rPr>
          <w:b/>
        </w:rPr>
        <w:t>E. 2</w:t>
      </w:r>
    </w:p>
    <w:p>
      <w:r>
        <w:t>a) Les dispositions régissant l’entrée en Suisse sont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du Secétariat d’Etat aux migrations relatives à la LEtr, mises en relation avec les directives sur les visas, liste 1 par nationalités, les ressortissants brésiliens sont soumis à cette obligation. Ces directives ajoutent qu’en principe aucune autorisation de séjour ne sera délivrée à l’étranger qui n’est pas muni d’un visa. b) La recourante est entrée en Suisse en 2014, sans visa et sans autorisation de séjour. Le recours devrait être rejeté pour ce motif déjà, aucune des exceptions visées à l’art. 5 al. 2 OEV n’étant de surcroît réalisées en l’espèce (cf. en dernier lieu, arrêt PE.2016.0236 du 25 août 2016)</w:t>
      </w:r>
    </w:p>
    <w:p>
      <w:r>
        <w:rPr>
          <w:b/>
        </w:rPr>
        <w:t>E. 2.6</w:t>
      </w:r>
    </w:p>
    <w:p>
      <w:r>
        <w:t>p. 292 s.). En résumé, l'étranger qui bénéficie d'une autorisation de séjour durable est en droit de réclamer le regroupement familial pour ses enfants en se prévalant de l'art. 8 CEDH et de l'art. 13 Cst., en lien avec l'art. 3 CDE, si les conditions énumérées aux art. 42 et 44 LEtr sont remplies, dans la mesure où les délais de l'art. 47 LEtr sont respectés (cf. consid. 6; ATF 2C_1075/2015 du 28 avril 2016 consid. 1.2;  ATF 137 I 284 consid. 1.3 p. 287 et les arrêts cités; 136 II 497 consid. 3.3 p. 501). Le regroupement familial partiel suppose également de tenir compte de l'intérêt supérieur de l'enfant, comme l'exige l'art. 3 par. 1 CDE (ATF 137 I 284 consid. 2.3.1; 136 II 78 consid. 4.8). b) Les raisons familiales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lequel doit également être respecté en vertu de l'art. 3 par. 1 de la convention du 20 novembre 1989 relative aux droits de l'enfant (CDE; RS 0.107), mais tenir compte, dans une appréciation globale, de l'ensemble des éléments pertinents du cas d'espèce.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Toutefois, c'est l'intérêt de l'enfant et non les intérêts économiques (prise d'une activité lucrative en Suisse) qui priment (Message concernant la loi sur les étrangers, FF 2002 3549). Il s'agit donc d'éviter que des demandes de regroupement familial soient abusivement déposées en faveur d'enfants qui sont sur le point d'atteindre l'âge de travailler, le but visé en premier lieu, dans ces cas, n'étant pas une vie familiale, mais un accès facilité au marché du travail. L'octroi d'une autorisation pour regroupement familial après l'échéance des délais ordinaires doit, conformément à la volonté du législateur, rester l'exception (ATF 2C_174/2012 du 22 octobre 2012 consid. 4.1; 2C_780/2012 du 3 septembre 2012 consid. 2.2; 2C_687/2010 du 4 avril 2011 consid 4.1 in fine ). Ainsi, la reconnaissance d'un droit au regroupement familial suppose qu'un changement important de circonstances, notamment d'ordre familial, se soit produit, telle qu'une modification des possibilités de la prise en charge éducative à l'étranger (ATF 137 I 284 consid. 2.3.1 p. 290/291;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ATF 2A.737/2005 du 19 janvier 2007 et 2A.405/2006 du 18 décembre 2006). c) La preuve des motifs visant à justifier le regroupement familial différé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Enfin, on rappellera que les raisons familiales majeures pour le regroupement familial ultérieur doivent être interprétées d'une manière conforme au droit fondamental au respect de la vie familiale garantis par les art. 8 CEDH et 13 Cst. (ATF 2C_887/2014 du 11 mars 2015 consid. 3.1.) d) La mère de la recourante est entrée en Suisse en 2008 pour se marier, en laissant au pays sa fille, alors âgée de huit ans. Selon ses déclarations, la recourante a vécu depuis 2008 auprès de sa grand-mère maternelle. Elle a suivi toute sa scolarité au Brésil. Sa mère a viré des fonds à sa grand-mère, pour subvenir partiellement aux besoins de la recourante. Au décès de la grand-mère, la recourante n’aurait pas pu être prise en charge par ses deux demi-frères et sa demi-sœur majeurs. Quant au père, il s’était montré violent à l’égard de tiers, ainsi que de la recourante. Il ne serait dès lors pas exigible de celle-ci qu’elle retourne vivre auprès de son père. Dans sa détermination adressée au SPOP le 27 novembre 2014 par son précédent mandataire, la mère de la recourante a indiqué que sa fille avait vécu au Brésil «sous l’autorité» de son père, D.________. On doit en déduire, avec le SPOP, que celui-ci détient l’autorité parentale sur la recourante. Ce fait est corroboré par la déclaration faite le 2 juin 2014 par le père de la recourante, autorisant celle-ci à rejoindre sa mère en Suisse, pour y vivre auprès d’elle. Le parent qui requiert le regroupement familial (B.________, en l’occurrence) doit disposer de l’autorité parentale ou du moins du droit de garde sur l’enfant (ATF 137 I 284 consid. 2.3.1 in fine p. 290; 136 II 78 consid. 4.8 p. 86/87; cf., en dernier lieu, ATF 2C_426/2016 du 3 octobre 2016, consid. 3.3, et les arrêts cités). Or ni la recourante ni sa mère n’ont été en mesure de répondre à la demande du SPOP, du 20 mars 2015, tendant notamment à la production d’un document officiel brésilien portant sur le transfert de l’autorité parentale ou, du moins, de l’attribution d’un droit de garde en faveur de la mère de la recourante. Une simple déclaration du parent qui reste à l’étranger, à l’instar de celle du 2 juin 2014, n’est pas suffisante à cet égard. Le décès de la grand-mère de la recourante a modifié les conditions de son éducation au Brésil. Toutefois, son père, ses demi-frères et sa demi-sœur vivent dans ce pays. S’agissant de D.________, la recourante fait valoir la violence de son père. La recourante fait valoir à ce propos le procès-verbal d’une plainte pénale déposée le 12 novembre 2013 par la victime qui s’est plainte de menaces de mort de la part de D.________. Il n’existe aucune autre indication au dossier de nature à établir que le père de la recourante a été reconnu coupable de violences et condamné pour de tels faits au Brésil. De même, aucun élément du dossier ne permet de confirmer que le père de la recourante a fait usage de violences à son égard par le passé. Quant aux demi-frères et sœur de la recourante, âgés de 25, 23 et 21 ans, ils résident tous à Manaus, en Amazonie, comme le père de la recourante, et la recourante elle-même avant son arrivée en Suisse. On ignore tout de leur situation, hormis l’affirmation toute générale de la recourante, selon laquelle ils ne se trouveraient pas en situation de la prendre en charge. La recourante, âgée de dix-sept ans, a été prise en charge par sa grand-mère depuis le départ de sa mère pour la Suisse, en 2008. Au cours des dix dernières années, les plus décisives pour son développement d’enfant puis d’adolescente, elle a vécu séparée de sa mère, qui a subvenu partiellement à ses besoins, sans pourvoir toutefois à son éducation. Leurs contacts se sont limitées à des échanges par téléphone ou par internet. La recourante n’allègue pas que sa mère lui aurait rendu visite. L’approche de la majorité de la recourante laisse aussi entrevoir que sa venue en Suisse a été dictée par des considérations économiques, plutôt que familiales. Enfin, la recourante peut être prise en charge dans son pays par son père, qui a l’autorité parentale sur elle, voire par ses demi-frères et sœur, sans oublier que dans quelques mois elle sera majeure. En conclusion, font défaut en l’occurrence les éléments déterminants pour admettre que l’on se trouverait en présence de raisons familiales majeures, qui imposeraient le regroupement familial différé tardif au sens de l’art. 47 al. 4 LEtr. Le recours doit également être rejeté sur ce point.</w:t>
      </w:r>
    </w:p>
    <w:p>
      <w:r>
        <w:rPr>
          <w:b/>
        </w:rPr>
        <w:t>E. 3</w:t>
      </w:r>
    </w:p>
    <w:p>
      <w:r>
        <w:t>let. b LEtr). La recourante a eu douze ans le 28 janvier 2012; le délai pour demander le regroupement familial a expiré le 27 janvier 2013. La demande d’autorisation formée le 25 janvier 2014 pour regroupement familial différé est par conséquent tardive au regard de l’art. 47 al. 1 LEtr. (cf., en dernier lieu, ATF 2C_915/2015 du 26 octobre 2015; cf. ATF 136 II 497 consid. 3.4 p. 503, consid. 3.7 p. 504). La recourante ne le conteste pas, au demeurant. Elle demande cependant à bénéficier d'un regroupement familial différé au sens de l'art. 47 al. 4 LEtr et fait valoir à ce titre l'existence de raisons familiales majeures. Elle invoque également sous ce rapport l’art. 8 CEDH.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(ATF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p. 287 s. et les références citées). S'agissant d'un regroupement familial partiel, il convient de tenir compte dans la pesée des intérêts notamment des exigences auxquelles le droit interne soumet celui-ci (ATF 137 I 284 consid.</w:t>
      </w:r>
    </w:p>
    <w:p>
      <w:r>
        <w:rPr>
          <w:b/>
        </w:rPr>
        <w:t>E. 4</w:t>
      </w:r>
    </w:p>
    <w:p>
      <w:r>
        <w:t>La recourante demande à être entendue personnellement, afin d’exposer de vive voix sa situation et démontrer son sérieux, sa détermination et sa motivation à continuer son parcours en Suisse.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 218 consid. 2.3 p. 222/223; 142 III 48 consid. 4.1.1 p. 52/53; 141 V 557 consid. 3.1 p. 564, et les arrêts cités).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Lorsque le regroupement familial est demandé, comme en l’espèce, pour des raisons familiales majeures, les enfants de plus de quatorze ans sont entendus, si nécessaire (art. 47 al. 4, deuxième phrase, LEtr.). Afin d’évaluer si le regroupement familial est manifestement contraire à l’intérêt de l’enfant, l’autorité compétente peut être amenée, selon les circonstances, à entendre l’enfant (cf. art. 12 CDE)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(ATF 124 II 361 consid. 3c p. 368). La représentation des enfants peut souvent se faire par l’intermédiaire du ou des parents à la procédure, dès lors que l’intérêt du ou des parents et de l’enfant coïncident (ATF 2C_576/2011 du 13 mars 2012, consid. 3.3). Selon certains avis, l’enfant devrait être entendu à chaque fois, lors d’un regroupement familial partiel, comme en l’occurrence, c’est-à-dire celui où le regroupement est de nature à séparer l’enfant de l’un de ses parents ou de séparer une fratrie (Cesla Amarelle/Nathalie Christen, n°44 ad art. 47 LEtr, in: Code annoté du droit des migrations, vol. II, Berne, 2017). c) Il n’est pas nécessaire d’entendre personnellement la recourante. Elle agit avec sa mère pour la représenter, avec le concours d’un mandataire professionnel. Ses intérêts sont défendus par sa mère, dont les intérêts convergent avec les siens. Sans doute l’admission du regroupement familial aurait-elle pour effet de séparer la recourante de son père. Mais cela va dans le sens des arguments qu’elle a fait valoir dans la procédure. Quant à ses demi-frères et sœur, majeurs, la recourante affirme qu’ils ne sont pas en mesure de s’occuper d’elle. En outre, l’audition de la recourante ne serait pas de nature à remédier aux défauts du recours, s’agissant d’éléments propres à justifier le regroupement familial (cf. consid. 3 ci-dessus). Dans le cadre d’une appréciation anticipée de la valeur probante de ce moyen de preuve, le Tribunal renonce à entendre personnellement la recourante.</w:t>
      </w:r>
    </w:p>
    <w:p>
      <w:r>
        <w:rPr>
          <w:b/>
        </w:rPr>
        <w:t>E. 5</w:t>
      </w:r>
    </w:p>
    <w:p>
      <w:r>
        <w:t>Le recours doit ainsi être rejeté, et la décision attaquée confirmée. Les frais sont mis à la charge de la recourante (art. 49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