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PE.2016.0385 vom 30. Mai 2017</w:t>
      </w:r>
    </w:p>
    <w:p>
      <w:r>
        <w:t>VD Tribunal cantonal, 2017-05-30, FR</w:t>
      </w:r>
    </w:p>
    <w:p>
      <w:r>
        <w:rPr>
          <w:b/>
        </w:rPr>
        <w:t xml:space="preserve">Quelle: </w:t>
      </w:r>
      <w:r>
        <w:t>https://mcp.opencaselaw.ch/entscheid/vd_omni_PE.2016.0385</w:t>
      </w:r>
    </w:p>
    <w:p>
      <w:r>
        <w:t>FR: VD_OMNI PE.2016.0385 du 30 mai 2017</w:t>
      </w:r>
    </w:p>
    <w:p>
      <w:r>
        <w:t>IT: VD_OMNI PE.2016.0385 del 30 maggio 2017</w:t>
      </w:r>
    </w:p>
    <w:p>
      <w:pPr>
        <w:pStyle w:val="Heading2"/>
      </w:pPr>
      <w:r>
        <w:t>Regeste</w:t>
      </w:r>
    </w:p>
    <w:p>
      <w:r>
        <w:t>A.________/Service de la population (SPOP) | Regroupement familal demandé pour un enfant de 13 ans, ressortissant togolais, au motif que sa grand-mère est trop âgée et ne peut plus et ne veut plus garder son petit-fils. Regroupement demandé sans respecter les délais de l'art. 47 al. 1 LEtr. Pas de raisons familiales majeures dès lors qu'il résulte de plusieurs pièces du dossier que l'enfant vit en réalité avec sa mère au Togo et que, si ce n'est plus le cas, rien n'indique qu'elle ne serait pas en mesure de s'en occuper. Constat que la venue en Suisse n'apparaît pas dans l'intérêt supérieur de l'enfant.</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 regroupement familial est régi par les art. 42 ss LEtr. Aux termes de l'art. 47 al.1 LEtr, celui-ci doit être demandé dans les cinq ans. Pour les enfants de plus de 12 ans, le regroupement doit intervenir dans un délai de 12 mois. Passé ce délai. Le regroupement familial différé n'est autorisé que pour des raisons familiales majeures (art. 47 al. 4 LEtr). En l'espèce, B.________ a eu 12 ans le ******** 2014. Pour respecter l'art. 47 al. 1 LEtr, la demande de regroupement familial aurait ainsi dû intervenir le 22 avril 2015 au plus tard. Or, elle a été déposée le 17 août 2015, ce qui n'est pas contesté par le recourant. Conformément à l'art. 47 al. 4 LEtr, le regroupement familial ne peut dès lors être autorisé que pour des raisons familiales majeures.</w:t>
      </w:r>
    </w:p>
    <w:p>
      <w:r>
        <w:rPr>
          <w:b/>
        </w:rPr>
        <w:t>E. 2.1</w:t>
      </w:r>
    </w:p>
    <w:p>
      <w:r>
        <w:t>et 2.3). Il appartient toutefois aux requérants, dans le cadre de leur obligation de collaborer (art. 90 LEtr), d’exposer non seulement mais aussi de prouver les raisons familiales majeures (TF 2C _363/2016 précité consid. 2.4). b) Des raisons familiales majeures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 ATF 126 II 329). C'est l'intérêt de l'enfant et non les intérêts économiques (prise d'une activité lucrative en Suisse) qui priment (message du 8 mars 2002 concernant la loi sur les étrangers, FF 2002 3551). Le Tribunal fédéral s'est penché sur les conditions applicables au regroupement familial partiel (ATF 136 II 78 consid. 4.7). Il a jugé que la LEtr ne permettait plus de justifier l'application des conditions restrictives posées par la jurisprudence en application de l'ancienne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également ATF 137 I 284 consid. 2.3.1 in fine ; TF 2C_473/2014 du 2 décembre 2014 consid. 4.3 et 2C_1198/2012 du 26 mars 2013 consid. 4.2). Selon la jurisprudence rendue sous l'empire de la LSEE, le regroupement famili al partiel différé était soumis à des conditions strictes. La reconnaissance d'un droit au regroupement familial suppose alors qu'un changement important de circonstances, notamment d'ordre familial, se soit produit, telle qu'une modification des possibili tés de la prise en charge éducative à l'étranger ( ATF 130 II 1 consid. 2; 124 II 361 consid. 3a). Lorsque le regroupement familial est demandé à raison de changements importants des circonstances à l'étranger, notamment dans les rapports de l'enfant avec l e parent qui en avait la charge, il convient d'examiner s'il existe des solutions alternatives, permettant à l'enfant de rester où il vit; cette exigence est d'autant plus importante pour les adolescents ( ATF 133 II 6 consid. 3.1.2; cf. aussi TF 2A.737/20</w:t>
      </w:r>
    </w:p>
    <w:p>
      <w:r>
        <w:rPr>
          <w:b/>
        </w:rPr>
        <w:t>E. 2.6</w:t>
      </w:r>
    </w:p>
    <w:p>
      <w:r>
        <w:t>p. 292 s.). En résumé, l'étranger qui bénéficie d'une autorisation d'établissement est en droit de réclamer le regroupement familial pour ses enfants en se prévalant de l'art. 8 CEDH et de l'art. 13 Cst., en lien avec l'art. 3 CDE, si les conditions énumérées à l'art. 43 LEtr sont remplies, dans la mesure où les délais de l'art. 47 LEtr sont respectés. Le regroupement familial partiel suppose également de tenir compte de l'intérêt supérieur de l'enfant, comme l'exige l'art. 3 par. 1 CDE (ATF 137 I 284 consid. 2.3.1; 136 II 78 consid. 4.8). Quant aux raisons familiales majeures pour le regroupement familial "tardif", elles doivent être interprétées d’une manière conforme au droit fondamental sur le respect de la vie familiale, garanti par les art. 8 CEDH et 13 Cst (TF 2C_905/2015 du 22 décembre 2015 consid. 4.2 et les réf. cit.; cf. aussi TF 2C_363/2016 du 25 août 2016 consid.</w:t>
      </w:r>
    </w:p>
    <w:p>
      <w:r>
        <w:rPr>
          <w:b/>
        </w:rPr>
        <w:t>E. 3</w:t>
      </w:r>
    </w:p>
    <w:p>
      <w:r>
        <w:t>Le recourant fait précisément valoir que des raisons familiales majeures justifient la venue tardive en Suisse de son fils. Il importe dès lors de vérifier si les intéressés peuvent invoquer l’art. 47 al. 4 LEtr, à l’appui de leur demande. Au préalable cependant, il y a lieu de vérifier si le refus d'autoriser l'entrée, respectivement le séjour, constitue une violation de leurs droits tels qu'ils découlent de l'art. 13 Cst., de l'art. 8 de la convention du 4 novembre 1950 de sauvegarde des droits de l'homme et des libertés fondamentales (CEDH; RS 0.101) et de l'art. 3 par. 1 CDE.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(TF 2C_1075/2015 du 28 avril 2016 consid. 3.1;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p. 287 s. et les références citées). S'agissant d'un regroupement familial partiel, il convient de tenir compte dans la pesée des intérêts notamment des exigences auxquelles le droit interne soumet celui-ci (ATF 137 I 284 consid.</w:t>
      </w:r>
    </w:p>
    <w:p>
      <w:r>
        <w:rPr>
          <w:b/>
        </w:rPr>
        <w:t>E. 05</w:t>
      </w:r>
    </w:p>
    <w:p>
      <w:r>
        <w:t>du 19 janvier 2007 et 2A.405/2006 du 18 décembre 2006). D'une manière générale, plus le jeune a vécu longte mps à l'étranger et se trouve à un âge proche de la majorité, plus les motifs propres à justifier le déplacement de son centre de vie doivent apparaître sérieux et solidement étayés. c) Pour ce qui est des raisons familiales majeures susceptibles de justifier la venue en Suisse de B.________, le recourant fait valoir que son fils vit à Lomé auprès de sa grand-mère, que celle-ci a près de 80 ans et qu'elle ne peut plus et ne veut plus garder chez elle son petit-fils. Le recourant semble dès lors soutenir que son fils risque d'être livré à lui-même en raison de l'incapacité de la personne qui en a la charge d'assumer sa tâche. Cette argumentation ne convainc pas. Il résulte en effet de deux documents figurant au dossier (acte établi par Me Amekoudi à Lomé et jugement du Tribunal de première instance de Lomé du 6 mars 2013) que B.________ vit à Lomé avec sa mère et non pas avec sa grand-mère. Certes, le recourant a produit une attestation du 9 février 2017 d'un huissier de justice dont il résulte que B.________ se trouverait chez sa grand-mère. Cependant, même si on devait admettre que l'enfant vit actuellement avec sa grand-mère, on ne voit pas pour quelles raisons il ne pourrait pas être pris à nouveau en charge par sa mère dans l'hypothèse où sa grand-mère ne devait plus être en mesure de s'en occuper. Le recourant affirme dans l'acte de recours que la mère "n'entend pas le reprendre". Il ne donne toutefois pas les motifs de ce refus et on peut dès lors partir de l'idée qu'il n'existe pas de raisons objectives qui empêcheraient la mère de B.________ de s'en occuper si aucune autre solution ne pouvait être trouvée sur place. On relève au surplus que, outre la question de l'âge, le recourant ne prétend pas que la grand-mère de B.________ souffrirait de problèmes de santé ou autres qui l'empêcheraient de s'occuper encore de son petit-fils pendant quelques années. Vu ce qui précède, les conditions strictes pour qu'on puisse retenir l'existence de "raisons familiales majeures" au sens de l'art. 47 al. 4 LEtr ne sont pas réunies. d) Il convient enfin de préciser, à toutes fins utiles, que le refus de l'autorité intimée de faire droit à la demande de regroupement familial litigieuse n'apparaît pas contraire à l'intérêt supérieur des enfants au sens l'art. 3 par. 1 CDE, étant précisé que cette disposition n'accorde ni à l'enfant ni à ses parents un droit à la réunion de la famille ou une prétention directe à l'obtention d'une autorisation de séjour (cf. TF 2C_356/2014 du 27 août 2014 consid. 4.1 et les références citées). B.________ a en effet vécu toute sa vie dans son pays d'origine, où il conserve le centre de ses relations familiales et sociales; sa venue en Suisse auprès de son père et de l'épouse de celui-ci, avec lesquels elle n'a jamais vécu, n'apparaît pas dans son intérêt supérieur, ce d'autant moins qu'en l'état, il n'est pas établi – comme déjà relevé – que sa mère ou sa grand-mère ne pourraient plus s'en occuper. 4. Il résulte des considérants qui précèdent que le recours doit être rejeté et la décision attaquée confirmée. Compte tenu de l'issue du litige, un émolument de 600 fr. est mis à la charge du recourant, qui succombe (cf. art. 49 al. 1 LPA-VD). Il n'y a en outre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