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PE.2016.0307 vom 21. November 2016</w:t>
      </w:r>
    </w:p>
    <w:p>
      <w:r>
        <w:t>VD Tribunal cantonal, 2016-11-21, FR</w:t>
      </w:r>
    </w:p>
    <w:p>
      <w:r>
        <w:rPr>
          <w:b/>
        </w:rPr>
        <w:t xml:space="preserve">Quelle: </w:t>
      </w:r>
      <w:r>
        <w:t>https://mcp.opencaselaw.ch/entscheid/vd_omni_PE.2016.0307</w:t>
      </w:r>
    </w:p>
    <w:p>
      <w:r>
        <w:t>FR: VD_OMNI PE.2016.0307 du 21 novembre 2016</w:t>
      </w:r>
    </w:p>
    <w:p>
      <w:r>
        <w:t>IT: VD_OMNI PE.2016.0307 del 21 novembre 2016</w:t>
      </w:r>
    </w:p>
    <w:p>
      <w:pPr>
        <w:pStyle w:val="Heading2"/>
      </w:pPr>
      <w:r>
        <w:t>Regeste</w:t>
      </w:r>
    </w:p>
    <w:p>
      <w:r>
        <w:t>A.________/Service de la population (SPOP) | Le recourant, ressortissant français, a obtenu une autorisation de séjour en 2001. Il a fait l'objet de multiples condamnations pénales, dont un an et six mois d'emprisonnement en France pour escroquerie. Le recourant a bénéficié de l'aide sociale régulièrement puis d'une rente entière AI depuis décembre 2014 et de prestations complémentaires depuis janvier 2016. Le recourant, divorcé deux fois, est le père de quatre enfants de nationalité suisse dont un souffrant d'autisme. - Le séjour du recourant en France pour purger sa peine étant largement supérieur à six mois, son autorisation de séjour a pris fin conformément à l'art. 61 al. 2 LEtr et à l'ALCP (c. 2). - Le droit de séjour des membres de la famille du citoyen suisse dépend de la validité juridique du mariage ou de la communauté familiale, et s'éteint en présence de motifs d'expulsion. En l'occurrence, le recourant n'a pas annoncé ses condamnations pénales aux autorités lors de son retour en Suisse et sa peine la plus longue dépasse la limite d'une année d'emprisonnement. Les conditions de l'art. 62 LEtr sont réalisées et il ne peut prétendre à la délivrance d'un titre de séjour (c. 3). - Ce refus est conforme au principe de la proportionnalité puisque l'intérêt public à le tenir éloigné de la Suisse est plus important que son intérêt privé à pouvoir demeurer (son fils autiste est pris en charge par sa mère et par une institution, ses problèmes de santé peuvent être soignés en France et la distance n'empêche pas la famille de maintenir des liens suffisants) (c. 4).</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litige porte d'abord sur la question de savoir si c'est à juste titre que l'autorité intimée a constaté l’extinction de l'autorisation d'établissement UE/AELE du recourant, en refusant sa réintégration en Suisse et l'octroi d'une autorisation de séjour. a) L'art. 2 al. 2 de la loi sur les étrangers du 16 décembre 2005 (LEtr; RS 142.20) renvoie, pour les ressortissants communautaires, à l'Accord du 21 juin 1999 entre la Confédération suisse d'une part, et la Communauté européenne et ses Etats membres, d'autre part, sur la libre circulation des personnes (ALCP; RS 0.142.112.681). Aux termes de cette disposition, la LEtr n’est applicable aux ressortissants communautaires, aux membres de leur famille et aux travailleurs détachés par un employeur ayant son siège ou son domicile dans un de ces Etats que dans la mesure où l'accord précité n'en dispose pas autrement ou lorsque la LEtr prévoit des dispositions plus favorables. Ce principe est également posé à l'art. 12 ALCP. Le recourant étant de nationalité française, il y a lieu d'appliquer les dispositions de l'ALCP à moins que la LEtr ne lui soit plus favorable. b) L’ALCP prévoit qu’une interruption de séjour ne dépassant pas six mois consécutifs ainsi que les absences motivées par l’accomplissement d’obligations militaires n’affectent pas la validité du titre de séjour dans les différentes situations de libre circulation des personnes (s’agissant des travailleurs salariés: art. 6 par. 5 de l’annexe I ALCP; des indépendants: art. 12 par. 5 de l’annexe I ALCP et des personnes n’exerçant pas d’activité économique: art. 24 par. 6 de l’annexe I ALCP). Ce point est encore précisé au chiffre 8.2.1 des directives du Secrétariat d'Etat aux migrations (SEM) sur l’introduction progressive de la libre circulation des personnes (ci-après: directives OLCP, dans leur version d'octobre 2016). En l’occurrence, le libellé des art. 6 par. 5 et 24 par. 6 de l’Annexe 1 ALCP est clair: la validité du titre de séjour n’est pas affectée en cas d’absence ne dépassant pas six mois consécutifs; il suit de là, a contrario , que la validité du titre de séjour peut être affectée en cas d’absence de six mois consécutifs au moins (cf. PE.2011.0072 du 8 décembre 2011 consid. 2b; PE.2009.395 du 29 septembre 2009 consid. 1a), à moins qu'elles ne soient motivées par des obligations militaires. Conformément à la jurisprudence, peu importe les causes de l'éloignement; ainsi une interruption du séjour de plus de six mois en raison d'une incarcération à l'étranger est susceptible d’entraîner l'extinction de l'autorisation de séjour au vu des art.</w:t>
      </w:r>
    </w:p>
    <w:p>
      <w:r>
        <w:rPr>
          <w:b/>
        </w:rPr>
        <w:t>E. 6</w:t>
      </w:r>
    </w:p>
    <w:p>
      <w:r>
        <w:t>Les considérants qui précèdent conduisent à l'admission partielle du recours et à l'annulation de la décision attaquée. La cause est retournée à l'autorité intimée pour complément d'instruction dans le sens des considérants et pour statuer à nouveau. Il n’est pas perçu d'émolument judiciaire, ni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