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PE.2016.0281 vom 24. April 2017</w:t>
      </w:r>
    </w:p>
    <w:p>
      <w:r>
        <w:t>VD Tribunal cantonal, 2017-04-24, FR</w:t>
      </w:r>
    </w:p>
    <w:p>
      <w:r>
        <w:rPr>
          <w:b/>
        </w:rPr>
        <w:t xml:space="preserve">Quelle: </w:t>
      </w:r>
      <w:r>
        <w:t>https://mcp.opencaselaw.ch/entscheid/vd_omni_PE.2016.0281</w:t>
      </w:r>
    </w:p>
    <w:p>
      <w:r>
        <w:t>FR: VD_OMNI PE.2016.0281 du 24 avril 2017</w:t>
      </w:r>
    </w:p>
    <w:p>
      <w:r>
        <w:t>IT: VD_OMNI PE.2016.0281 del 24 aprile 2017</w:t>
      </w:r>
    </w:p>
    <w:p>
      <w:pPr>
        <w:pStyle w:val="Heading2"/>
      </w:pPr>
      <w:r>
        <w:t>Regeste</w:t>
      </w:r>
    </w:p>
    <w:p>
      <w:r>
        <w:t>A.________ /Service de la population (SPOP) | Confirmation du refus du SPOP de délivrer une autorisation de séjour à un ressortissant congolais, âgé de 44 ans, souhaitant effectuer un master et un doctorat en théologie auprès de l'UNIL. La nécessité pour lui d'entreprendre de telles études, alors qu'il bénéficie déjà d'une formation universitaire complète dans le domaine et d'une expérience de plusieurs années comme pasteur et enseignant en théologie, n'est pas démontrée.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donc lieu d'entrer en matière.</w:t>
      </w:r>
    </w:p>
    <w:p>
      <w:r>
        <w:rPr>
          <w:b/>
        </w:rPr>
        <w:t>E. 2</w:t>
      </w:r>
    </w:p>
    <w:p>
      <w:r>
        <w:t>Le litige porte sur le refus d'une autorisation de séjour pour études.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l'autorité intimée a motivé son refus principalement par le fait que la nécessité pour le recourant d'entreprendre la formation envisagée n'était pas démontrée, compte tenu de de son cursus et de son expérience professionnelle, et que les personnes âgées de plus de 30 ans ne pouvaient en principe pas se voir attribuer une autorisation de séjour pour se former ou se perfectionner. Comme le relève le recourant, il est vrai que de tels critères ne sont pas expressément prévus par les 27 LEtr et 23 al. 2 OASA. Les autorités ne sont toutefois pas liées par le cadre légal défini par ces dispositions. Elles disposent en effet d'un très large pouvoir d'appréciation en la matière (cf. supra consid. 3b). Dans ce cadre, la question en particulier de la nécessité pour l'étranger de poursuivre des études en Suisse doit être examinée. C'est également le lieu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(TAF C-5436/2015 du 29 juin 2016 consid. 7.3 et les références citées). Ainsi, selon la pratique constante rappelée ci-dessus, la priorité sera donnée aux jeunes étudiants désireux d'acquérir une première formation en Suisse (cf. supra consid. 3b). Or, dans le cas particulier, force est de constater que le recourant a déjà acquis une formation universitaire complète en République démocratique du Congo. Il y a en effet obtenu en 2000 une licence en théologie. Il exerce de plus depuis 2008 la fonction de pasteur et enseigne parallèlement dans un institut de théologie évangélique. Dans ces conditions, on ne saurait reprocher à l'autorité intimée d'avoir estimé que la nécessité pour le recourant d'entreprendre la formation envisagée n'était pas démontrée. Par conséquent, même si la cour n'entend pas contester l'utilité que pourrait constituer la formation projetée et comprend les aspirations légitimes de l'intéressé à vouloir l'acquérir, elle se doit néanmoins de constater que, dans le cas particulier, il n'apparaît pas que des raisons spécifiques et suffisantes soient de nature à justifier la délivrance de l'autorisation de séjour sollicitée, au regard également de la politique d'admission restrictive que les autorité helvétiques ont été amenées à adopter en la matière.</w:t>
      </w:r>
    </w:p>
    <w:p>
      <w:r>
        <w:rPr>
          <w:b/>
        </w:rPr>
        <w:t>E. 5</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