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PE.2016.0262 vom 23. September 2016</w:t>
      </w:r>
    </w:p>
    <w:p>
      <w:r>
        <w:t>VD Tribunal cantonal, 2016-09-23, FR</w:t>
      </w:r>
    </w:p>
    <w:p>
      <w:r>
        <w:rPr>
          <w:b/>
        </w:rPr>
        <w:t xml:space="preserve">Quelle: </w:t>
      </w:r>
      <w:r>
        <w:t>https://mcp.opencaselaw.ch/entscheid/vd_omni_PE.2016.0262</w:t>
      </w:r>
    </w:p>
    <w:p>
      <w:r>
        <w:t>FR: VD_OMNI PE.2016.0262 du 23 septembre 2016</w:t>
      </w:r>
    </w:p>
    <w:p>
      <w:r>
        <w:t>IT: VD_OMNI PE.2016.0262 del 23 settembre 2016</w:t>
      </w:r>
    </w:p>
    <w:p>
      <w:pPr>
        <w:pStyle w:val="Heading2"/>
      </w:pPr>
      <w:r>
        <w:t>Regeste</w:t>
      </w:r>
    </w:p>
    <w:p>
      <w:r>
        <w:t>A.________/Service de la population (SPOP) | Recours contre la décision du SPOP refusant d'entrer en matière sur la demande de regroupement familial d'une ressortissante irakienne auprès de son mari, un compatriote séjournant légalement en Suisse au bénéfice d'une autorisation de séjour et qui aurait entamé une procédure de naturalisation. La demande d'asile déposée par la recourante préalablement à sa demande de regroupement familial a été rejetée par le SEM, puis par le TAF, au motif notamment que la réalité du mariage était douteuse. Un requérant d'asile débouté ne peut certes pas, à moins qu'il n'y ait droit, engager une procédure visant l'octroi d'une autorisation de police des étrangers, conformément au principe de l'exclusivité de la procédure. Dans sa décision, le SPOP s'en est toutefois remis à l'examen sommaire du SEM s'agissant de l'existence du mariage allégué sans instruire la question de la réalité du mariage et l'état de la procédure de naturalisation. Ce faisant, le SPOP a limité de manière inadmissible son pouvoir de cognition. Recours admis et renvoi du dossier à l'autorité intimée pour complément d'instruction.</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Selon l'art. 80 LPA-VD, applicable devant le Tribunal cantonal par renvoi de l'art. 99 LPA-VD, le recours a effet suspensif. Selon l'alinéa 2 de cette disposition, l'autorité administrative ou l'autorité de recours peuvent, d'office ou sur requête, lever l'effet suspensif, si un intérêt public prépondérant le commande. La CDAP statuant ce jour sur le fond du recours, la question de l’effet suspensif est sans objet.</w:t>
      </w:r>
    </w:p>
    <w:p>
      <w:r>
        <w:rPr>
          <w:b/>
        </w:rPr>
        <w:t>E. 3</w:t>
      </w:r>
    </w:p>
    <w:p>
      <w:r>
        <w:t>Le litige porte sur le refus du SPOP d'entrer en matière sur la demande d'autorisation de séjour déposée par la recourante, en application de l'art. 14 de la loi fédérale du 26 juin 1998 sur l'asile (LAsi; RS 142.31). a) Aux termes de l'art. 14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Sous réserve de l'approbation du SEM, le canton peut octroyer une autorisation de séjour à toute personne qui lui a été attribuée conformément à la présente loi, aux conditions suivantes (al. 2):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 62 LEtr (let. d). Lorsqu'il entend faire usage de cette possibilité, le canton le signale immédiatement au SEM (al. 3). La personne concernée n'a qualité de partie que lors de la procédure d'approbation du SEM (al. 4).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(cf. ATF 128 II 200 consid. 2.2.1). L'entrée en matière sur une demande d'autorisation de séjour fondée sur l'art.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inscrit à l'art. 14 al. 1 LAsi, requérir un permis de séjour aussi longtemps qu'il n'aura pas quitté la Suisse (CDAP PE.2014.0506 du 25 février 2016 consid. 2b; CDAP PE.2014.0280 du 10 octobre 2014 consid. 1a et la référence). Le but de l'art.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(cf. ATF 128 II 200 consid. 2.1; CDAP PE.2014.0506 du 25 février 2016 consid. 2b; CDAP PE.2014.0280 du 10 octobre 2014 consid. 1a et les références). b) Dans le cas d'espèce, la recourante a déposé une demande d'asile en août 2015, laquelle a fait l'objet d'une décision de non-entrée en matière et de renvoi de Suisse, rendue par le SEM le 11 septembre 2015, décision entrée en force le 2 mars 2016; la date de son départ ayant été fixée au 10 mai 2016. L'art. 14 al. 1 LAsi autorise toutefois la recourante à requérir une autorisation de séjour relevant du droit des étrangers s’il existe un droit à l’octroi de l’autorisation de séjour. c) Le droit à une autorisation de séjour au sens de l'art. 14 al. 1 LAsi doit être interprété selon la jurisprudence relative à l'art. 83 let. c ch. 2 de la loi fédérale du 17 juin 2005 sur le Tribunal fédéral (LTF; RS 173.110), selon lequel le recours en matière de droit public est irrecevable contre les décisions en matière de droit des étrangers qui concernent une autorisation à laquelle ni le droit fédéral ni le droit international ne donnent droit (CDAP PE.2014.0506 du 25 février 2016 consid. 3; CDAP PE.2014.0280 du 10 octobre 2014 consid. 3a et les références).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(ATF 131 II 339 consid. 1 et les références). Une exception au principe de l'exclusivité de la procédure d'asile n'est admise que si le droit à l'autorisation de séjour requise est manifeste (cf. ATF 137 I 351 consid. 3.1; CDAP PE.2014.0506 du 25 février 2016 consid. 3; CDAP PE.2014.0280 du 10 octobre 2014 consid. 3a et les références). La recourante invoque le droit au respect de sa vie privée, garanti par l'art. 8 de la Convention du 4 novembre 1950 de sauvegarde des droits de l’homme et des libertés fondamentales (CEDH; RS 0.101).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2C_913/2015 du 26 octobre 2015 consid. 6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d) En l’espèce, la recourante ne vit en Suisse  depuis plus d’une année; elle invoque son mariage avec B.________ (ci-après B.________), qui aurait été célébré en automne 2013 au nord de l’Irak. Elle précise que B.________ avait versé le documents originaux au Service des naturalisations du SPOP, à savoir un certificat de mariage n° 2221/2013 délivré en Irak du nord le 8 octobre 2013 ainsi que des documents d’authentification du mariage à Bagdad par le ministère de l’intérieur et des affaires étrangères selon les procédures en cours. Les recourants ont produit les pièces démontrant qu’une demande de naturalisation est en cours et porte notamment sur l’authentification des documents d’état civil produits dans cette procédure. La recourante vit en couple depuis son attribution au canton de Vaud et le couple serait autonome financièrement; selon les pièces produites à l’appui du recours, le salaire mensuel brut du mari de la recourante s’élevant à plus de 4'600 fr. La décision de non entrée en matière rendue par le SEM le 11 septembre 2015 met en doute la réalité du mariage pour les raisons suivantes : -    la copie de l’acte de mariage n’aurait pas une valeur probante -    dans le cadre de la procédure visant l’obtention d’un permis B en Suisse, M. B.________ a remis un passeport irakien délivré le 25 avril 2012 au nom de B.________. Or ce nom ne correspondrait pas à celui figurant sur la copie de l’acte de mariage versé au dossier. -    la recourante a indiqué des dates de naissance différentes pendant ses auditions (1 er janvier 1995 et 2 février 1995). -    la recourante a indiqué ne pas avoir connu son mari avant son mariage et la vie commune était pratiquement inexistante avant l’arrivée en Suisse; -    comme le mariage n’était pas prouvé et que la vie commune était quasiment inexistante, la recourante ne pouvait se plaindre d’une violation de l’art. 8 CEDH, de sort que le renvoi vers l’Autriche était licite Dans son arrêt du 25 février 2016, le Tribunal administratif fédéral (TAF) a relevé que la copie de l’acte de mariage produit n’offrait pas les garanties permettant de retenir son authenticité et que le lien entre la recourante et B.________ ne pouvait être assimilé à une relation stable, étroite et durable au sens de la jurisprudence relative à l’art. 8 CEDH. Le TAF a toutefois rappelé « que les intéressés demeuraient libre de déposer une demande de regroupement familial auprès des autorités compétentes » de police des étrangers et non des autorités d’asile, indépendamment de la procédure d’asile. Il a relevé par ailleurs que la recourante avait « quitté son pays d’origine dans le but, principal en tous cas, de rejoindre B.________ en Suisse. » Il a relevé aussi qu’il n’appartenait pas au SEM d’étendre son examen à la relation vécue entre la recourante et B.________. En l’espèce, l’autorité intimée, qui est l’autorité compétente pour se déterminer sur la demande de regroupement familial, n’a procédé à aucune investigation sur la réalité du mariage entre la recourante et B.________ en se référant uniquement à l’examen sommaire que le SEM était tenu de procédé dans le cadre de l’art. 29a al. 3 OA 1. Or, le pouvoir d’examen du SPOP n’est pas limité de la même manière que celui du SEM. Le SPOP ne pouvait pas statuer sans procéder aux mesures d’instructions concernant l’état de la procédure de naturalisation introduite par B.________, qui comportait précisément la demande de reconnaissance du mariage célébré en Irak .</w:t>
      </w:r>
    </w:p>
    <w:p>
      <w:r>
        <w:rPr>
          <w:b/>
        </w:rPr>
        <w:t>E. 4</w:t>
      </w:r>
    </w:p>
    <w:p>
      <w:r>
        <w:t>Il résulte des considérants qui précèdent que le recours doit être admis et la décision attaquée annulée. Le dossier est retourné à l’autorité intimée pour compléter l’instruction dans le sens des considérants et statuer à nouveau. La recourante, assistée par un mandataire professionnellement qualifié a droit aux dépens qu’elle a requis (art. 55 al. 1 LPA-VD). Il n’y a pas lieu de percevoir de frais de justice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