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PE.2016.0236 vom 25. August 2016</w:t>
      </w:r>
    </w:p>
    <w:p>
      <w:r>
        <w:t>VD Tribunal cantonal, 2016-08-25, FR</w:t>
      </w:r>
    </w:p>
    <w:p>
      <w:r>
        <w:rPr>
          <w:b/>
        </w:rPr>
        <w:t xml:space="preserve">Quelle: </w:t>
      </w:r>
      <w:r>
        <w:t>https://mcp.opencaselaw.ch/entscheid/vd_omni_PE.2016.0236</w:t>
      </w:r>
    </w:p>
    <w:p>
      <w:r>
        <w:t>FR: VD_OMNI PE.2016.0236 du 25 août 2016</w:t>
      </w:r>
    </w:p>
    <w:p>
      <w:r>
        <w:t>IT: VD_OMNI PE.2016.0236 del 25 agosto 2016</w:t>
      </w:r>
    </w:p>
    <w:p>
      <w:pPr>
        <w:pStyle w:val="Heading2"/>
      </w:pPr>
      <w:r>
        <w:t>Regeste</w:t>
      </w:r>
    </w:p>
    <w:p>
      <w:r>
        <w:t>A.________ /Service de la population (SPOP) | Confirmation du refus de délivrer au recourant, ressortissant kosovar, une autorisation de séjour en vue de son mariage avec une étrangère au bénéfice d'un permis d'établissement. Le recourant est entré en Suisse en 2011, sans le moindre visa, et y est demeuré depuis lors de manière illégale, sans être au bénéfice de la moindre autorisation. A cela s'ajoute que sa concubine n'est pas encore divorcée, de sorte que l'imminence du mariage n'est pas démontrée.</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kosovar de Serbie,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a) L’étranger entré légalement en Suisse pour un séjour temporaire qui dépose ultérieurement une demande d’autorisation de séjour durable doit attendre la décision à l’étranger (art. 17 al. 1 LEtr). L’autorité cantonale compétente peut autoriser l’étranger à séjourner en Suisse durant la procédure si les conditions d’admission sont manifestement remplies (ibid., al. 2). Les dispositions régissant l’entrée en Suisse sont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de l'Office fédéral des migrations relatives à la LEtr (ci-après: directives ODM), mises en relation avec les directives du même office sur les visas, liste 1 par nationalités, les ressortissants kosovars de Serbie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Il ressort du dossier et de ses propres explications devant la Police que le recourant est entré en Suisse en 2011, sans le moindre visa; il y est demeuré depuis lors de manière illégale, sans être au bénéfice de la moindre autorisation. Dès lors, pour ce premier motif, le recours devrait être rejeté, à moins que le recourant puisse démontrer que les conditions d’une dérogation à la règle de l’art. 5 al. 1 OEV sont en l’occurrence réalisées (v. dans le même sens, arrêts PE.2014.0222 du 14 septembre 2014; PE.2012.0310 du 11 février 2013).</w:t>
      </w:r>
    </w:p>
    <w:p>
      <w:r>
        <w:rPr>
          <w:b/>
        </w:rPr>
        <w:t>E. 4</w:t>
      </w:r>
    </w:p>
    <w:p>
      <w:r>
        <w:t>a) L’art. 43 al. 1 LEtr donne au conjoint d’un ressortissant étranger au bénéfice d’un permis d’établissement le droit à une autorisation de séjour. Le fiancé - qui n’est par définition pas un conjoint - n’entre toutefois pas dans le champ d’application de cette disposition. Il est néanmoins possible de déroger aux conditions d’admission des étrangers (art. 18 à 29), notamment, dans le but suivant: tenir compte des cas individuels d’une extrême gravité ou d’intérêts publics majeurs (cf. articles 30 al. 1 let. b LEtr et 31 al. 1 de l'ordonnance du 24 octobre 2007 relative à l'admission, au séjour et à l'exercice d'une activité lucrative [OASA; RS 142.201]).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Dans un tel cas, en effet, il serait disproportionné d’exiger de l’étranger qu’il rentre dans son pays pour s’y marier ou pour engager à distance une procédure en vue d’obtenir le droit de revenir en Suisse pour se marier. En revanche, dans le cas inverse, soit si, en raison des circonstances, notamment de la situation personnelle de l’étranger, il apparaît d’emblée que celui-ci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p. 360). Dans sa directive relative au domaine des étrangers, état au 18 juillet 2016, le Secrétariat d’Etat aux migrations (ci-après: SEM) apporte encore les précisions suivantes en ce qui concerne le séjour en vue de la préparation du mariage: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(chiffre 5.6.2.2.3) » b) A cela s’ajoute qu’un étranger peut, selon les circonstances, se prévaloir de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(arrêts PE.2009.0558, précité; PE.2010.0230 du 18 octobre 2010; ATF 2C_300/2008 du 17 juin 2008 consid. 4.2, 2C_90/2007 du 27 août 2007 consid. 4.1, 2A.362/2002 du 4 octobre 2002 consid. 2.2). c) En l’occurrence, on peut laisser indécise la question de savoir si l’on se trouve en présence d’une relation durable entre le recourant et B.________. En effet, il appert que le mariage n’est pas imminent et ne pourra être célébré dans un délai considéré comme étant raisonnable, puisque le divorce des époux B.________ - C.________ n’a même pas été prononcé. Du reste, les démarches ne pourront être entreprises qu’après l’entrée en force du jugement du divorce prononcé entre C.________ et B.________. S’ajoute à cela que la vérification et l’authentification des documents d’état-civil du recourant pourrait prendre plusieurs mois. Cela exclut par conséquent la délivrance d’une autorisation de séjour (v. arrêt 2C_733/2008 du 12 mars 2009, consid. 5.1; arrêts PE.2011.0095 du 21 avril 2011; PE.2010.0230 du 18 octobre 2010; PE.2010.0294 du 19 août 2010; PE.2008.0395 du 19 décembre 2008), ceci sans préjudice de l’examen des autres conditions auxquelles cette délivrance est assortie. L’autorité intimée n’a donc pas excédé son pouvoir d’appréciation en refusant l’octroi de l’autorisation requise et en prononçant le renvoi du recourant. La décision attaquée échappe par conséquent à la critique.</w:t>
      </w:r>
    </w:p>
    <w:p>
      <w:r>
        <w:rPr>
          <w:b/>
        </w:rPr>
        <w:t>E. 5</w:t>
      </w:r>
    </w:p>
    <w:p>
      <w:r>
        <w:t>Il suit de ce qui précède que le recours ne peut qu’être rejeté et la décision attaquée, confirmée. Vu l’issue du recours, un émolument judiciaire sera mis à la charge du recourant,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