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PE.2016.0230 vom 21. November 2016</w:t>
      </w:r>
    </w:p>
    <w:p>
      <w:r>
        <w:t>VD Tribunal cantonal, 2016-11-21, FR</w:t>
      </w:r>
    </w:p>
    <w:p>
      <w:r>
        <w:rPr>
          <w:b/>
        </w:rPr>
        <w:t xml:space="preserve">Quelle: </w:t>
      </w:r>
      <w:r>
        <w:t>https://mcp.opencaselaw.ch/entscheid/vd_omni_PE.2016.0230</w:t>
      </w:r>
    </w:p>
    <w:p>
      <w:r>
        <w:t>FR: VD_OMNI PE.2016.0230 du 21 novembre 2016</w:t>
      </w:r>
    </w:p>
    <w:p>
      <w:r>
        <w:t>IT: VD_OMNI PE.2016.0230 del 21 novembre 2016</w:t>
      </w:r>
    </w:p>
    <w:p>
      <w:pPr>
        <w:pStyle w:val="Heading2"/>
      </w:pPr>
      <w:r>
        <w:t>Regeste</w:t>
      </w:r>
    </w:p>
    <w:p>
      <w:r>
        <w:t>A.________/Service de la population (SPOP) | Confirmation de la révocation de l'autorisation de séjour UE/AELE du recourant, en raison de la menace réelle et grave qu'il représente eu égard aux condamnations pour trafic de stupéfiants prononcées à son encontre, notamment à la peine privative de liberté de 36 mois prononcée en février 2015. La révocation de son autorisation de séjour et son renvoi de Suisse respectent le principe de proportionnalité, vu en particulier la gravité de la menace qu'il représente, son court séjour en Suisse de moins de quatre ans - dont un passé en détention - et sa situation personnelle. Recours rejeté par le TF (2C_33/2017 du 8 juin 2017).</w:t>
      </w:r>
    </w:p>
    <w:p>
      <w:pPr>
        <w:pStyle w:val="Heading2"/>
      </w:pPr>
      <w:r>
        <w:t>Erwägungen</w:t>
      </w:r>
    </w:p>
    <w:p>
      <w:r>
        <w:rPr>
          <w:b/>
        </w:rPr>
        <w:t>E. 1</w:t>
      </w:r>
    </w:p>
    <w:p>
      <w:r>
        <w:t>Les décisions sont en principe notifiées à leurs destinataires sous pli recommandé ou par acte judiciaire.</w:t>
      </w:r>
    </w:p>
    <w:p>
      <w:r>
        <w:rPr>
          <w:b/>
        </w:rPr>
        <w:t>E. 2</w:t>
      </w:r>
    </w:p>
    <w:p>
      <w:r>
        <w:t>Si les circonstances l'exigent, notamment lors de décisions rendues en grand nombre, l'autorité peut notifier ses décisions sous pli simple ou sous une autre forme. La notification doit dans tous les cas intervenir par écrit.</w:t>
      </w:r>
    </w:p>
    <w:p>
      <w:r>
        <w:rPr>
          <w:b/>
        </w:rPr>
        <w:t>E. 3</w:t>
      </w:r>
    </w:p>
    <w:p>
      <w:r>
        <w:t>En définitive, le recours doit être rejeté, dans la mesure de sa recevabilité, et la décision entreprise confirmée. a) Compte tenu de ses ressources,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Dans sa liste des opérations déposée le 15 novembre 2016, le conseil d'office du recourant a annoncé avoir consacré à l'affaire un temps de 13 heures et 5 minutes et, avec les débours qu'il a annoncés et qui paraissent justifiés, aboutir à un total de 2'364 fr 65, qu'il convient de lui allouer. Compte tenu de la TVA au taux de 8%, l'indemnité totale s'élève à 2'553 fr. 85. b) Compte tenu de la situation financière du recourant, l'arrêt sera rendu sans frais. c) L'indemnité de conseil d'office est supportée provisoirement par le canton (cf. art. 122 al. 1 let. a du code de procédure civile du 19 décembre 2008 – CPC; RS 272 – ,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