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PE.2016.0226 vom 30. September 2016</w:t>
      </w:r>
    </w:p>
    <w:p>
      <w:r>
        <w:t>VD Tribunal cantonal, 2016-09-30, FR</w:t>
      </w:r>
    </w:p>
    <w:p>
      <w:r>
        <w:rPr>
          <w:b/>
        </w:rPr>
        <w:t xml:space="preserve">Quelle: </w:t>
      </w:r>
      <w:r>
        <w:t>https://mcp.opencaselaw.ch/entscheid/vd_omni_PE.2016.0226</w:t>
      </w:r>
    </w:p>
    <w:p>
      <w:r>
        <w:t>FR: VD_OMNI PE.2016.0226 du 30 septembre 2016</w:t>
      </w:r>
    </w:p>
    <w:p>
      <w:r>
        <w:t>IT: VD_OMNI PE.2016.0226 del 30 settembre 2016</w:t>
      </w:r>
    </w:p>
    <w:p>
      <w:pPr>
        <w:pStyle w:val="Heading2"/>
      </w:pPr>
      <w:r>
        <w:t>Regeste</w:t>
      </w:r>
    </w:p>
    <w:p>
      <w:r>
        <w:t>A.________/Service de la population (SPOP) | Confirmation du refus du SPOP d'entrer en matière sur une demande de réexamen d'une décision de rejet d'une demande d'autorisation de séjour: le recourant n'invoque aucun fait nouveau et déterminant; en particulier, les motifs d'ordre public invoqués à l'appui de la décision initiale sont toujours opposables à l'intéressé, son abstinence actuelle obtenue en milieu protégé n'étant pas décisive dans l'évaluation du risque de récidive.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Au titre de mesures d'instruction, le recourant requiert l'audition comme témoins du Directeur de la Fondation Bartimée et de l'employeur qui souhaite l'engager. a) Tel qu'il est garanti par l'art. 29 al. 2 de la Constitution fédérale du 18 avril 1999 (Cst.; RS 101),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139 II 489 consid. 3.3; 137 IV 33 consid. 9.2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138 III 374 consid. 4.3.2; 136 I 229 consid. 5.3). Le droit d'être entendu découlant de l'art. 29 al. 2 Cst. ne comprend pas le droit d'être entendu oralement, ni celui d'obtenir l'audition de témoins. (ATF 130 II 425 consid. 2.1; 125 I 209 consid. 9b; 122 II 464 consid. 4c). b) En l'espèce, le recourant a pu largement s'exprimer par écrit dans le cadre de son recours et de son mémoire complémentaire. Il a produit par ailleurs plusieurs pièces, dont un rapport de la Fondation Bartimée, ainsi qu'une promesse d'embauche. On ne voit dans ces conditions pas ce que pourrait apporter de plus les témoignages demandés. Il n'y a dès lors pas lieu de donner suite aux réquisitions du recourant, la cour s'estimant, sur la base d'une appréciation anticipée des preuves, suffisamment renseignée pour statuer en l'état du dossier.</w:t>
      </w:r>
    </w:p>
    <w:p>
      <w:r>
        <w:rPr>
          <w:b/>
        </w:rPr>
        <w:t>E. 2.1</w:t>
      </w:r>
    </w:p>
    <w:p>
      <w:r>
        <w:t>p. 181; TF 2C_125/2014 du 12 février 2014 consid. 3.1; 2C_172/2013 du 21 juin 2013 consid. 4.1; 2C_796/2012 du 8 mars 2013 consid. 3.1). b) En l'espèce, l'autorité intimée, dans sa décision initiale du 23 mai 2011, avait justifié le renvoi de Suisse du recourant par ses antécédents pénaux, rappelant qu'il avait été condamné entre 2000 et 2005 à quatre reprises, en particulier à une peine de quatre ans de réclusion. Elle avait relevé que l'intérêt public à l'éloignement de l'intéressé l'emportait ainsi largement sur son intérêt privé à poursuivre son séjour en Suisse. Dans l'intervalle, le recourant a été condamné une nouvelle fois à une lourde peine privative de liberté (en l'occurrence cinq ans). Dans son arrêt du 27 octobre 2014 (consid. 6.3), la Cour d'appel pénale du Tribunal cantonal a souligné en particulier que les tentatives de brigandage commises dénotaient la " dangerosité particulière " de l'intéressé et " sa faculté à faire le pire de manière irraisonnée et incontrôlée, sans aucune appréciation des risques ". Malgré la nouvelle condamnation pénale dont il a fait l'objet, le recourant affirme qu'il ne représente actuellement plus une menace pour l'ordre public. Il expose que son passé criminel était en effet principalement lié à ses différentes dépendances. Or, il aurait stoppé toute consommation de stupéfiants et d'alcool, de sorte que le risque de récidive pouvait être considéré comme négligeable. Le recourant se prévaut à cet égard du rapport de la Fondation Bartimée du 20 octobre 2015. Ce rapport confirme effectivement l'abstinence actuelle de l'intéressé et une évolution positive. Il ressort toutefois des pièces du dossier que, depuis l'adolescence, le recourant alterne les périodes d'abstinence et de consommation de diverses substances. Par ailleurs, au sein même de la Fondation Bartimée, il a connu plusieurs rechutes. En outre, dans le cadre de leurs déterminations sur une possible libération conditionnelle, les différents intervenants ont relevé que, malgré ses efforts et sa bonne évolution, le recourant demeurait fragile et ont préconisé pour cette raison la poursuite du traitement mis en place. L'intéressé lui-même a reconnu que ce suivi était nécessaire. De plus, dans son rapport du 2 mai 2012, l'expert a souligné, dans la pose des diagnostics, que si le recourant souffrait de dépendance aux opiacés et à l'alcool, il était néanmoins abstinent en milieu protégé. Contrairement à ce que soutient le recourant, on ne saurait au regard de ces éléments considérer l'abstinence actuelle obtenue dans le cadre particulier de la Fondation Bartimée comme décisive dans l'évaluation du risque de récidive. Le recul n'est pas suffisant pour affirmer qu'une fois le suivi au sein de la Fondation Bartimée terminé (à savoir le 27 novembre 2016), l'intéressé poursuivra sa transformation et ne retombera pas dans le milieu de la drogue et de la criminalité. Les motifs d'ordre public invoqués par l'autorité intimée à l'appui de sa décision initiale du 23 mai 2011 lui sont dès lors toujours opposables. Le recourant se prévaut également de ses liens avec ses enfants et petits-enfants. Ces éléments ne sont toutefois pas nouveaux et avaient déjà été pris en compte par l'autorité intimée dans le cadre de la pesée des intérêts à laquelle elle avait procédé en rendant sa décision du 23 mai 2011. Compte tenu des antécédents pénaux du recourant et du risque de récidive qui reste actuel, ils demeurent insuffisants pour faire obstacle à un renvoi. Quant à la promesse d'engagement produite, elle n'est pas non plus déterminante. Le recourant invoque enfin ses problèmes de santé. Il a produit plusieurs rapports médicaux, dont il ressort qu'il a été diagnostiqué en septembre 2015 atteint d'une cirrhose Child-Pugh A, d'une hépatite C chronique génotype 3A avec virémie, ainsi que d'un nodule hépatique suspect. Il suit un traitement hépatique, qui pourrait conduire à une éventuelle transplantation. Le recourant n'établit pas que ce suivi et l'éventuelle opération envisagée ne pourront pas être effectués au Portugal. Il y a lieu de rappeler que, selon la jurisprudence, le seul fait d'obtenir en Suisse des prestations médicales supérieures à celles offertes dans le pays d'origine ne suffit pas à justifier l'octroi d'une autorisation de séjour (ATF 128 II 200 consid. 5.3 p. 209; cf. également TF 2C_959/2011 du 22 février 2012 consid. 3.2). Faute d'éléments nouveaux déterminants, c'est ainsi sans violer le droit ni abuser de son pouvoir d'appréciation que l'autorité intimée n'est pas entrée en matière sur la demande de reconsidération du recourant.</w:t>
      </w:r>
    </w:p>
    <w:p>
      <w:r>
        <w:rPr>
          <w:b/>
        </w:rPr>
        <w:t>E. 3</w:t>
      </w:r>
    </w:p>
    <w:p>
      <w:r>
        <w:t>a) 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Dans ces deux hypothèses, les faits invoqués doivent être " importants ", soit de nature à modifier l'état de fait à la base de l'acte attaqué et à aboutir à un résultat différent en fonction d'une appréciation juridique correcte (cf. arrêt PE.2010.0620 du 30 mars 2011 consid. 3a et les références); dans ce cadre, le simple écoulement du temps et une évolution normale de l'intégration en Suisse ne sont pas constitutives d'une modification des circonstances de nature à admettre une reconsidération (TF 2A.180/2000 du 14 août 2000 consid. 4c). Le réexamen de décisions entrées en force ne saurait servir à remettre sans cesse en cause des décisions exécutoires ou à détourner les délais prévus pour les voies de droit ordinaires (ATF 136 II 177 consid.</w:t>
      </w:r>
    </w:p>
    <w:p>
      <w:r>
        <w:rPr>
          <w:b/>
        </w:rPr>
        <w:t>E. 4</w:t>
      </w:r>
    </w:p>
    <w:p>
      <w:r>
        <w:t>Les considérants qui précèdent conduisent au rejet du recours et à la confirmation de la décision attaquée. a) Compte tenu de ses ressources, le recourant a été mis au bénéfice de l'assistance judiciaire par décision du 7 juillet 2016.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En l'occurrence, l'indemnité de Me Aline Bonard peut être arrêtée compte tenu de la liste des opérations et débours produite à 1'343 fr. 95 fr., soit 1'239 fr. d'honoraires (2.30 x 180 fr. + 7.50 x 110 fr.), 5 fr. 40 de débours et 99 fr. 55 TVA (8%), montant que l'on peut arrondir à 1'345 francs. b) Les frais de justice, arrêtés à 600 fr. (art. 4 al. 1 du Tarif du 28 avril 2015 des frais judiciaires et des dépens en matière administrative – TFJDA;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