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PE.2016.0180 vom 27. Juli 2016</w:t>
      </w:r>
    </w:p>
    <w:p>
      <w:r>
        <w:t>VD Tribunal cantonal, 2016-07-27, FR</w:t>
      </w:r>
    </w:p>
    <w:p>
      <w:r>
        <w:rPr>
          <w:b/>
        </w:rPr>
        <w:t xml:space="preserve">Quelle: </w:t>
      </w:r>
      <w:r>
        <w:t>https://mcp.opencaselaw.ch/entscheid/vd_omni_PE.2016.0180</w:t>
      </w:r>
    </w:p>
    <w:p>
      <w:r>
        <w:t>FR: VD_OMNI PE.2016.0180 du 27 juillet 2016</w:t>
      </w:r>
    </w:p>
    <w:p>
      <w:r>
        <w:t>IT: VD_OMNI PE.2016.0180 del 27 luglio 2016</w:t>
      </w:r>
    </w:p>
    <w:p>
      <w:pPr>
        <w:pStyle w:val="Heading2"/>
      </w:pPr>
      <w:r>
        <w:t>Regeste</w:t>
      </w:r>
    </w:p>
    <w:p>
      <w:r>
        <w:t>A.X.________/Service de la population (SPOP) | Confirmation du refus du SPOP d'entrer en matière sur une demande de réexamen d'une décision de refus de transformation d'un permis F en permis B: la recourante n'invoque aucune circonstance nouvelle; elle se limite à remettre en cause l'appréciation qui a été faite dans le cadre de la procédure précédente.</w:t>
      </w:r>
    </w:p>
    <w:p>
      <w:pPr>
        <w:pStyle w:val="Heading2"/>
      </w:pPr>
      <w:r>
        <w:t>Erwägungen</w:t>
      </w:r>
    </w:p>
    <w:p>
      <w:r>
        <w:rPr>
          <w:b/>
        </w:rPr>
        <w:t>E. 1</w:t>
      </w:r>
    </w:p>
    <w:p>
      <w:r>
        <w:t>Déposé dans le délai de trente jours fixé par l’art. 95 LPA-VD, le recours est intervenu en temps utile. Il respecte au surplus les conditions formelles énoncées à l’art. 79 LPA-VD.</w:t>
      </w:r>
    </w:p>
    <w:p>
      <w:r>
        <w:rPr>
          <w:b/>
        </w:rPr>
        <w:t>E. 2</w:t>
      </w:r>
    </w:p>
    <w:p>
      <w:r>
        <w:t>a) Les autorités administratives sont tenues de réexaminer leurs décisions si une disposition légale expresse ou si une pratique administrative constante les y oblige (TF, arrêts 2C_1224/2013 du 12 décembre 2014 consid. 4.1 et 2C_1010/2011 du 31 janvier 2012 consid. 2.2). Tel est le cas de l'art. 64 al. 2 LPA-VD, dont la teneur est la suivante: "L'autorité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La jurisprudence a, en outre, déduit de l'art. 29 al. 1 et 2 de la Constitution fédérale de la Confédération suisse (Cst.; RS 101) l'obligation, pour l'autorité administrative, de se saisir d'une demande de réexamen lorsque les circonstances se sont modifiées de façon notable depuis la première décision ou lorsque le requérant invoque des faits essentiels et des moyens de preuve nouveaux qu'il ne connaissait pas ou a été dans l'impossibilité de faire valoir dans la procédure antérieure (ATF 124 II 1 consid. 3a p. 6; TF 2C_225/2014 du 20 mars 2014 consid. 5.1; 2C_125/2014 du 12 février 2014 consid. 3.1). b) En l'espèce, la recourante ne se prévaut d'aucune circonstance nouvelle. Elle avait déjà invoqué dans le cadre de sa première demande d'autorisation de séjour son âge, ses problèmes de santé et son parcours de vie pour expliquer son intégration peu poussée. Elle se limite en fait dans ses écritures à remettre en cause l'appréciation qui a été faite dans le cadre de la procédure précédente. Or, les demandes de réexamen ne sauraient servir à remettre continuellement en question des décisions entrées en force ou à éluder les dispositions légales sur les délais de recours (ATF 136 II 177 consid. 2.1 p. 181; TF 2C_125/2014 du 12 février 2014 consid. 3.1; 2C_172/2013 du 21 juin 2013 consid. 4.1; 2C_796/2012 du 8 mars 2013 consid. 3.1). Faute d'éléments nouveaux déterminants, c'est ainsi à juste titre que le SPOP n'est pas entré en matière sur la demande de la recourante.</w:t>
      </w:r>
    </w:p>
    <w:p>
      <w:r>
        <w:rPr>
          <w:b/>
        </w:rPr>
        <w:t>E. 3</w:t>
      </w:r>
    </w:p>
    <w:p>
      <w:r>
        <w:t>Mal fondé, le recours doit être rejeté et la décision attaquée confirmée. La recourante, qui succombe, supportera les frais de justice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