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PE.2016.0145 vom 12. Juli 2016</w:t>
      </w:r>
    </w:p>
    <w:p>
      <w:r>
        <w:t>VD Tribunal cantonal, 2016-07-12, FR</w:t>
      </w:r>
    </w:p>
    <w:p>
      <w:r>
        <w:rPr>
          <w:b/>
        </w:rPr>
        <w:t xml:space="preserve">Quelle: </w:t>
      </w:r>
      <w:r>
        <w:t>https://mcp.opencaselaw.ch/entscheid/vd_omni_PE.2016.0145</w:t>
      </w:r>
    </w:p>
    <w:p>
      <w:r>
        <w:t>FR: VD_OMNI PE.2016.0145 du 12 juillet 2016</w:t>
      </w:r>
    </w:p>
    <w:p>
      <w:r>
        <w:t>IT: VD_OMNI PE.2016.0145 del 12 luglio 2016</w:t>
      </w:r>
    </w:p>
    <w:p>
      <w:pPr>
        <w:pStyle w:val="Heading2"/>
      </w:pPr>
      <w:r>
        <w:t>Regeste</w:t>
      </w:r>
    </w:p>
    <w:p>
      <w:r>
        <w:t>X________/Service de la population (SPOP) | Recours d'une ressortissante éthiopienne contre la décision du SPOP déclarant irrecevable, subsidiairement rejetant, sa demande de réexamen. C'est à bon droit que l'autorité intimée a considéré que la naissance prochaine d'un second enfant ne constituait pas une circonstance justifiant de revenir sur sa décision. La CDAP avait jugé dans la procédure antérieure concernant la recourante que sa réintégration dans son pays d'origine n'était pas compromise en raison de la présence d'un premier enfant en bas âge. Tel ne sera pas non plus le cas du seul fait de la naissance d'un second enfant. Pour le surplus, la recourante s'en prend à l'état de fait et à l'appréciation juridique de l'arrêt rendu dans la procédure antérieure, ce qui n'est pas admissible. Rejet du recours manifestement mal fondé. Recours au TF irrecevable (2D_33/2016 du 14 septembre 2016).</w:t>
      </w:r>
    </w:p>
    <w:p>
      <w:pPr>
        <w:pStyle w:val="Heading2"/>
      </w:pPr>
      <w:r>
        <w:t>Erwägungen</w:t>
      </w:r>
    </w:p>
    <w:p>
      <w:r>
        <w:rPr>
          <w:b/>
        </w:rPr>
        <w:t>E. 1</w:t>
      </w:r>
    </w:p>
    <w:p>
      <w:r>
        <w:t>Déposé dans le délai de 30 jours fixé par l'art. 95 LPA-VD, le recours est intervenu en temps utile et respecte au surplus les conditions formelles énoncées à l'art. 79 LPA-VD, applicables par renvoi de l'art. 99 LPA-VD. A. X________ (ci-après: la recourante) étant la destinataire de la décision litigieuse, elle revêt manifestement la qualité pour recourir, de sorte qu'il se justifie d'entrer en matière sur le recours.</w:t>
      </w:r>
    </w:p>
    <w:p>
      <w:r>
        <w:rPr>
          <w:b/>
        </w:rPr>
        <w:t>E. 2</w:t>
      </w:r>
    </w:p>
    <w:p>
      <w:r>
        <w:t>A titre liminaire, on rappellera que la recourante a sollicité son audition, ainsi que celle de sa sœur aînée, afin de renseigner le tribunal sur sa condition sociale, familiale, culturelle et financière en Ethiopie.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sur le recours qui porte uniquement sur la question de savoir si la seconde grossesse de la recourante et, partant, la naissance d'un second enfant, constitue une circonstance nouvelle ouvrant la voie du réexamen. Cela étant, les auditions requises apparaissent d'autant moins pertinentes qu'il n'est pas question de procéder à un nouvel examen du bien-fondé de la décision initiale pour les motifs exposés ci-après ( cf. consid. 6 et 7 ci-dessous).</w:t>
      </w:r>
    </w:p>
    <w:p>
      <w:r>
        <w:rPr>
          <w:b/>
        </w:rPr>
        <w:t>E. 3</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4</w:t>
      </w:r>
    </w:p>
    <w:p>
      <w:r>
        <w:t>La recourante fait en l'espèce grief à l'autorité intimée d'avoir déclaré irrecevable sa demande de réexamen en présence d'une circonstance  nouvelle importante. a) La demande de réexamen (aussi appelée demande de nouvel examen ou de reconsidération) est adressée à une autorité administrative en vue d'obtenir l'annulation ou la modification d'une décision qu'elle a prise ( cf .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Ces principes sont rappelés à l'art. 64 LPA-VD, à teneur duquel: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n'avait pas de raison de se prévaloir à cette époque, ou c. si la première décision a été influencée par un crime ou un délit. Les faits et les moyens de preuve invoqués, dans le cadre des hypothèses visées à l'art. 64 al. 2 let. a et b LPA-VD, doivent être " importants ", soit de nature à modifier l'état de fait à la base de l'acte attaqué et à aboutir à un résultat différent en fonction d'une appréciation juridique correcte ( cf . arrêt PE.2010.0620 du 30 mars 2011 consid. 3a et les références).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Le droit des étrangers n'échappe pas à cette règle ( cf . ATF 136 II 177 consid. 2.1 p. 181).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ATF 2D_138/2008 du 10 juin 2009 consid. 3.2 et les références). Le droit des étrangers n'échappe pas à cette règle (ATF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5</w:t>
      </w:r>
    </w:p>
    <w:p>
      <w:r>
        <w:t>a) Dans le cas présent, la recourante a indiqué dans son courrier du 26 avril 2016 avoir déposé une demande de reconsidération de la décision auprès de l'autorité intimée " pour le motif qu'elle a [urait] découvert après le 19 novembre 2015 [soit la date de l'arrêt de la CDAP statuant sur son premier recours] être enceinte d'un second enfant avec un terme prévu au 4 juillet 2016 ". Il ressort toutefois tant du recours postérieur que du certificat médical du 19 mai 2016 qui l'accompagnait, que la recourante a en réalité découvert sa grossesse le 18 novembre 2015, soit préalablement à l'arrêt de la CDAP du 19 novembre 2015, statuant sur son précédent recours et qui lui a été notifié le 20 novembre 2015. Quoi qu'il en soit, il importe peu de savoir si, vu le bref délai de deux jours séparant la connaissance par la recourante de son état et la notification de l'arrêt précité, l'intéressée peut effectivement se prévaloir de l'existence d'un fait nouveau ou, à tout le moins, d'un fait qu'elle ne pouvait pas connaître ou dont elle ne pouvait pas ou n'avait pas de raison de se prévaloir à cette époque. Comme exposé ci-dessous, il est en effet manifeste que le fait invoqué ne peut être qualifié d'important au sens de l'art. 64 al. 2 LPA-VD et n'imposait ainsi pas à l'autorité intimée d'entrer en matière sur la demande. b) D'une part, et contrairement à l'avis de la recourante, le tribunal de céans n'a pas déjà " eu l'occasion de retenir que la naissance d'un nouvel enfant constituait un fait nouveau important justifiant une demande de réexamen " ( cf . arrêt PE.2012.0325 du</w:t>
      </w:r>
    </w:p>
    <w:p>
      <w:r>
        <w:rPr>
          <w:b/>
        </w:rPr>
        <w:t>E. 9</w:t>
      </w:r>
    </w:p>
    <w:p>
      <w:r>
        <w:t>Il suit de ce qui précède que le recours, manifestement mal fondé, doit être rejeté et la décision attaquée confirmée. Le dossier sera retourné au SPOP, qui fixera un nouveau délai de départ à la recourante, lequel prendra en considération son état de mère d'un nouveau-né. Le sort du recours, dénué de chances de succès,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