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PE.2016.0125 vom 6. Juli 2016</w:t>
      </w:r>
    </w:p>
    <w:p>
      <w:r>
        <w:t>VD Tribunal cantonal, 2016-07-06, FR</w:t>
      </w:r>
    </w:p>
    <w:p>
      <w:r>
        <w:rPr>
          <w:b/>
        </w:rPr>
        <w:t xml:space="preserve">Quelle: </w:t>
      </w:r>
      <w:r>
        <w:t>https://mcp.opencaselaw.ch/entscheid/vd_omni_PE.2016.0125</w:t>
      </w:r>
    </w:p>
    <w:p>
      <w:r>
        <w:t>FR: VD_OMNI PE.2016.0125 du 6 juillet 2016</w:t>
      </w:r>
    </w:p>
    <w:p>
      <w:r>
        <w:t>IT: VD_OMNI PE.2016.0125 del 6 luglio 2016</w:t>
      </w:r>
    </w:p>
    <w:p>
      <w:pPr>
        <w:pStyle w:val="Heading2"/>
      </w:pPr>
      <w:r>
        <w:t>Regeste</w:t>
      </w:r>
    </w:p>
    <w:p>
      <w:r>
        <w:t>A.X.________/Service de la population (SPOP), Service de l'emploi Contrôle du marché du travail | Recours contre la décision du SDE sommant le recourant de respecter les procédures applicables en cas d'engagement de main-d'œuvre étrangère rejeté. Le Tribunal s'est fié aux premières déclarations des employés (ressortissants étrangers sans permis de travail) recueillies lors du contrôle et aux pièces versées au dossier (déclarations nominatives de l'impôt à la source), écartant les témoignages ultérieurs indiquant que ces derniers n'auraient jamais travaillé pour le recourant (c. 2b/c). Ne s'agissant pas d'une récidive, la sommation est une sanction appropriée qui respecte le principe de la proportionnalité (c. 2d). La motivation de la décision respecte le droit d'être entendu (c.1).</w:t>
      </w:r>
    </w:p>
    <w:p>
      <w:pPr>
        <w:pStyle w:val="Heading2"/>
      </w:pPr>
      <w:r>
        <w:t>Erwägungen</w:t>
      </w:r>
    </w:p>
    <w:p>
      <w:r>
        <w:rPr>
          <w:b/>
        </w:rPr>
        <w:t>E. 1</w:t>
      </w:r>
    </w:p>
    <w:p>
      <w:r>
        <w:t>Le recourant fait en premier lieu valoir que la décision attaquée souffre d'un défaut de motivation. a) Selon l’art. 42 de la loi du 28 octobre 2008 sur la procédure administrative (LPA-VD; RSV 173.36), la décision contient les indications suivantes: le nom de l'autorité qui a statué et sa composition s'il s'agit d'une autorité collégiale (let. a); le nom des parties et de leurs mandataires (let. b); les faits, les règles juridiques et les motifs sur lesquels elle s'appuie (let. c); le dispositif (let. d); la date et la signature (let. e); l'indication des voies de droit ordinaires ouvertes à son encontre, du délai pour les utiliser et de l'autorité compétente pour en connaître (let. f). Les décisions sont en principe notifiées à leurs destinataires sous pli recommandé ou par acte judiciaire (art. 44 al. 1 LPA-VD). Selon l’art. 44 al. 2 LPA-VD, si les circonstances l'exigent, notamment lors de décisions rendues en grand nombre, l'autorité peut notifier ses décisions sous pli simple ou sous une autre forme. La notification doit dans tous les cas intervenir par écrit. Le droit d'être entendu prévu par les art. 29 al. 2 de la Constitution fédérale de la Confédération suisse du 18 avril 1999 (Cst.; RS 101), 17 al. 2 de la Constitution du Canton de Vaud du 14 avril 2003 (Cst-VD; RSV 101.01) et 33ss LPA-VD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(TF 2D_38/2011 du 9 novembre 2011 consid. 3.2.1; 1C_383/2010 du 11 avril 2011 consid. 2.1 et la référence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La motivation peut d'ailleurs être implicite et résulter des différents considérants de la décision (TF 2D_38/2011 précité consid. 3.2.1; RDAF 2009 II p. 434, 2C_23/2009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l'espèce, on ne saurait suivre le recourant lorsqu'il soutient que la décision attaquée souffre d'un défaut de motivation s'agissant en particulier des faits. En effet, ceux-ci sont clairement compréhensibles à la lecture de la partie "En fait" de la décision attaquée et apparaissent y être reportés de manière complète; le tribunal ne voit pas quels éléments supplémentaires auraient dû figurer dans la décision attaquée, et le recourant ne l'expose du reste pas. D'ailleurs, le recourant a été en mesure de rédiger le présent recours en toute connaissance de cause. Comme on le verra ci-après, les faits exposés dans la décision attaquée, établis par les pièces y relatives, sont suffisants à retenir une violation des dispositions légales applicables. Mal fondé, ce grief doit être rejeté.</w:t>
      </w:r>
    </w:p>
    <w:p>
      <w:r>
        <w:rPr>
          <w:b/>
        </w:rPr>
        <w:t>E. 2</w:t>
      </w:r>
    </w:p>
    <w:p>
      <w:r>
        <w:t>Est considérée comme activité lucrative toute activité salariée ou indépendante qui procure normalement un gain, même si elle est exercée gratuitement.</w:t>
      </w:r>
    </w:p>
    <w:p>
      <w:r>
        <w:rPr>
          <w:b/>
        </w:rPr>
        <w:t>E. 3</w:t>
      </w:r>
    </w:p>
    <w:p>
      <w:r>
        <w:t>Il résulte de ce qui précède que le recours doit être rejeté et la décision attaquée, confirmée. Succombant, le recourant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