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PE.2016.0097 vom 12. September 2016</w:t>
      </w:r>
    </w:p>
    <w:p>
      <w:r>
        <w:t>VD Tribunal cantonal, 2016-09-12, FR</w:t>
      </w:r>
    </w:p>
    <w:p>
      <w:r>
        <w:rPr>
          <w:b/>
        </w:rPr>
        <w:t xml:space="preserve">Quelle: </w:t>
      </w:r>
      <w:r>
        <w:t>https://mcp.opencaselaw.ch/entscheid/vd_omni_PE.2016.0097</w:t>
      </w:r>
    </w:p>
    <w:p>
      <w:r>
        <w:t>FR: VD_OMNI PE.2016.0097 du 12 septembre 2016</w:t>
      </w:r>
    </w:p>
    <w:p>
      <w:r>
        <w:t>IT: VD_OMNI PE.2016.0097 del 12 settembre 2016</w:t>
      </w:r>
    </w:p>
    <w:p>
      <w:pPr>
        <w:pStyle w:val="Heading2"/>
      </w:pPr>
      <w:r>
        <w:t>Regeste</w:t>
      </w:r>
    </w:p>
    <w:p>
      <w:r>
        <w:t>A.________/Service de l'emploi Contrôle du marché du travail, Service de la population (SPOP) | Décision du Service de l'emploi refusant l'admission de travailleurs étrangers pendant six mois. Recours de l'employeur sanctionné. Celui-ci ne peut se défausser sur son sous-traitant du fait que des étrangers travaillaient sans les autorisations nécessaires sur le chantier, pour son compte. La clause du contrat de sous-traitance, mettant à la charge du sous-traitant l'obligation de n'employer que du personnel en règle du point de vue de la législation sur les travailleurs étrangers, n'exonère pas l'employeur de fait de son devoir de diligence. Recours rejeté.</w:t>
      </w:r>
    </w:p>
    <w:p>
      <w:pPr>
        <w:pStyle w:val="Heading2"/>
      </w:pPr>
      <w:r>
        <w:t>Erwägungen</w:t>
      </w:r>
    </w:p>
    <w:p>
      <w:r>
        <w:rPr>
          <w:b/>
        </w:rPr>
        <w:t>E. 1</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 Le 17 février 2016, le SE a rendu deux décisions séparées portant sur un objet connexe: la première inflige à la recourante une sanction administrative au sens de l’art. 122 de la loi fédérale sur les étrangers, du 16 décembre 2005 (LEtr; RS 142.20), à raison des faits survenus le 23 novembre 2015; la deuxième met à la charge de la recourante les frais du contrôle du 23 novembre 2015, en application de l’art. 79 de la loi du 5 juillet 2005 sur l’emploi (LEmp, RSV 822.11). La recourante conteste avoir employé  C.________ et B.________; en cela, elle s’en prend à la première des deux décisions du 17 février 2016. On peut se demander si, en disant qu’elle ne voit pas pourquoi elle devrait payer «une amende», elle ne conteste pas les frais de contrôle mis à sa charge. Cette allusion aux frais peut cependant aussi être comprise comme une référence au ch. III du dispositif de la première décision, mettant à sa charge un émolument de décision, par 500 fr. En outre, la recourante ne soulève aucun argument de nature à mettre en cause le calcul des frais de contrôle. Il convient dès lors d’admettre que la recourante attaque uniquement la première décision, portant sur la sanction, et non la deuxième, relative aux frais de contrôle.</w:t>
      </w:r>
    </w:p>
    <w:p>
      <w:r>
        <w:rPr>
          <w:b/>
        </w:rPr>
        <w:t>E. 2</w:t>
      </w:r>
    </w:p>
    <w:p>
      <w:r>
        <w:t>Est considérée comme activité lucrative toute activité salariée ou indépendante qui procure normalement un gain, même si elle est exercée gratuitement.</w:t>
      </w:r>
    </w:p>
    <w:p>
      <w:r>
        <w:rPr>
          <w:b/>
        </w:rPr>
        <w:t>E. 3</w:t>
      </w:r>
    </w:p>
    <w:p>
      <w:r>
        <w:t>Le recours doit ainsi être rejeté et la décision attaquée, confirmée. Les frais sont mis à la charge de la recourante; il n’est pas alloué de dépens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