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PE.2016.0075 vom 4. Juli 2016</w:t>
      </w:r>
    </w:p>
    <w:p>
      <w:r>
        <w:t>VD Tribunal cantonal, 2016-07-04, FR</w:t>
      </w:r>
    </w:p>
    <w:p>
      <w:r>
        <w:rPr>
          <w:b/>
        </w:rPr>
        <w:t xml:space="preserve">Quelle: </w:t>
      </w:r>
      <w:r>
        <w:t>https://mcp.opencaselaw.ch/entscheid/vd_omni_PE.2016.0075</w:t>
      </w:r>
    </w:p>
    <w:p>
      <w:r>
        <w:t>FR: VD_OMNI PE.2016.0075 du 4 juillet 2016</w:t>
      </w:r>
    </w:p>
    <w:p>
      <w:r>
        <w:t>IT: VD_OMNI PE.2016.0075 del 4 luglio 2016</w:t>
      </w:r>
    </w:p>
    <w:p>
      <w:pPr>
        <w:pStyle w:val="Heading2"/>
      </w:pPr>
      <w:r>
        <w:t>Regeste</w:t>
      </w:r>
    </w:p>
    <w:p>
      <w:r>
        <w:t>X.________, Y.________, Z.________/Service de l'emploi Contrôle du marché du travail | Rejet du recours contre une décision du Service de l'emploi refusant une autorisation de travail à une ressortissante marocaine. Les employeurs recourants n'ont pas démontré avoir fait les efforts suffisants pour trouver un travailleur sur le marché indigène, ni que des candidats auraient refusé l'emploi proposé en raison de sa pénibilité; alors que 90 candidats potentiels, répondant aux critères requis, seraient aptes à occuper le poste à repourvoir. Les recourants n'ont pas davantage produit un avis de leur médecin traitant appuyant leurs démarches quant à l'engagement de leur employée et attestant que celle-ci serait la seule personne apte à assumer le poste compte tenu de leur état de santé.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Est seule litigieuse en l'espèce la question de savoir si c'est à bon droit que l'autorité intimée a refusé d'accorder, sur demande des recourants, une autorisation de permis de séjour avec activité lucrative en faveur de B.________.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"des ressortissants" des Etats membres de la Communauté européenne et de la Suisse un droit de séjour, d’entrée, d’accès à une activité économique salariée, d’établissement en tant qu’indépendant et le droit de demeurer sur le territoire des parties contractantes (let a). b) En l'espèce, B.________ étant ressortissante du Maroc, soit d'un Etat tiers, elle ne saurait se prévaloir de l’ALCP. Elle est par conséquent soumise aux dispositions de la LEtr.</w:t>
      </w:r>
    </w:p>
    <w:p>
      <w:r>
        <w:rPr>
          <w:b/>
        </w:rPr>
        <w:t>E. 3</w:t>
      </w:r>
    </w:p>
    <w:p>
      <w:r>
        <w:t>a) 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 4.3.1 de la directive du Secrétariat d'Etat aux migrations (SEM), dans sa teneur au 6 janvier 2016 (ci-après: la "directive du SEM"),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b) L’autorité intimée estime que les conditions posées à l’art. 21 LEtr ne sont pas réunies. aa)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S'agissant de l'ordre de priorité au sens de l’art. 21 LEtr, la directive du SEM prévoit en particulier ce qui suit: "4.3.2.1 Principe Le recours, en priorité, aux ressources du marché du travail suisse permet d'accroître les chances des travailleurs indigènes en quête d'un emploi et de limiter au maximum l'entrée de nouveaux travailleurs étrangers.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PE.2012.0154 du 14 septembre 2012 consid. 5a; PE.2010.423 du 3 décembre 2010 consid. 3a ; PE.2010.0154 du 9 septembre 2010, consid. 3 et PE.2009.0235 du 31 août 2009, consid. 3 et les arrêts cités; cf. également à ce sujet le chiffre 4.3.2 de la directive de l’ODM).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bb) En l'occurrence, les recourants prétendent qu'il est difficile de trouver du personnel compétent et motivé dans le domaine des soins à domicile de personnes âgées, disposé à s'investir pleinement dans l'exercice d'un tel emploi. Ils n’apportent cependant aucunement la preuve de recherches d’emplois effectuées par le biais d’annonces dans les journaux ou publiées sur internet, et auprès de bureaux de placement. Les recourants ne prouvent également pas que des candidats aient refusé l'emploi proposé en raison de la pénibilité de celui-ci. Il ressort en effet du dossier que les recourants n'ont adressé qu'une seule annonce, en avril 2014, à l'ORP, qui avait retenu neuf candidatures, mais aucune n'a apparemment trouvé grâce aux yeux des recourants. Par ailleurs, le fils de ces derniers, X.________, a reconnu ne plus avoir fait appel aux services de l'ORP, alors que selon les pièces figurant au dossier plus de 90 candidats potentiels, répondant aux critères requis, seraient aptes à occuper le poste à repourvoir. Enfin, force est de constater que les recourants n'ont pas produit un avis de leur médecin traitant, appuyant leurs démarches quant à l'engagement de B.________ et attestant que celle-ci serait la seule personne apte à assumer le poste compte tenu de leur état de santé. Par conséquent, il y a lieu d'admettre que les conditions de l’art. 21 LEtr et de la jurisprudence précitées ne sont pas réalisées en l'espèce, de sorte que c'est à juste titre que l'autorité intimée a refusé de délivrer une autorisation de séjour en faveur de B.________.</w:t>
      </w:r>
    </w:p>
    <w:p>
      <w:r>
        <w:rPr>
          <w:b/>
        </w:rPr>
        <w:t>E. 4</w:t>
      </w:r>
    </w:p>
    <w:p>
      <w:r>
        <w:t>Il résulte des considérants qui précèdent que le recours doit être rejeté et la décision de l'autorité intimée maintenue. Vu le sort de la cause, les frais seront mis à la charge des recourants, qui n'ont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